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00" w:rsidRPr="009A0385" w:rsidRDefault="00C06A00" w:rsidP="00C06A00">
      <w:pPr>
        <w:keepNext/>
        <w:tabs>
          <w:tab w:val="left" w:pos="14130"/>
        </w:tabs>
        <w:ind w:right="270"/>
        <w:jc w:val="center"/>
        <w:outlineLvl w:val="1"/>
        <w:rPr>
          <w:b/>
          <w:color w:val="000000"/>
        </w:rPr>
      </w:pPr>
      <w:r w:rsidRPr="009A0385">
        <w:rPr>
          <w:b/>
          <w:color w:val="000000"/>
        </w:rPr>
        <w:t>The Texas A&amp;M University System Campuses</w:t>
      </w:r>
    </w:p>
    <w:p w:rsidR="00C06A00" w:rsidRPr="009A0385" w:rsidRDefault="00C06A00" w:rsidP="00C06A00">
      <w:pPr>
        <w:keepNext/>
        <w:tabs>
          <w:tab w:val="left" w:pos="14130"/>
        </w:tabs>
        <w:ind w:right="270"/>
        <w:jc w:val="center"/>
        <w:outlineLvl w:val="1"/>
        <w:rPr>
          <w:b/>
        </w:rPr>
      </w:pPr>
      <w:r w:rsidRPr="009A0385">
        <w:rPr>
          <w:b/>
        </w:rPr>
        <w:t>Freshman Admissions Standards</w:t>
      </w:r>
    </w:p>
    <w:p w:rsidR="00C06A00" w:rsidRPr="009A0385" w:rsidRDefault="00C06A00" w:rsidP="00C06A00">
      <w:pPr>
        <w:keepNext/>
        <w:tabs>
          <w:tab w:val="left" w:pos="14130"/>
        </w:tabs>
        <w:ind w:right="270"/>
        <w:jc w:val="center"/>
        <w:outlineLvl w:val="1"/>
        <w:rPr>
          <w:b/>
          <w:color w:val="000000"/>
        </w:rPr>
      </w:pPr>
      <w:r w:rsidRPr="009A0385">
        <w:rPr>
          <w:b/>
          <w:color w:val="000000"/>
        </w:rPr>
        <w:t>Final for Year 202</w:t>
      </w:r>
      <w:r>
        <w:rPr>
          <w:b/>
          <w:color w:val="000000"/>
        </w:rPr>
        <w:t>2</w:t>
      </w:r>
      <w:r w:rsidRPr="009A0385">
        <w:rPr>
          <w:b/>
          <w:color w:val="000000"/>
        </w:rPr>
        <w:t>-2</w:t>
      </w:r>
      <w:r>
        <w:rPr>
          <w:b/>
          <w:color w:val="000000"/>
        </w:rPr>
        <w:t>3</w:t>
      </w:r>
    </w:p>
    <w:p w:rsidR="00801C42" w:rsidRDefault="00801C42"/>
    <w:p w:rsidR="00C06A00" w:rsidRDefault="00C06A00" w:rsidP="00C06A00">
      <w:pPr>
        <w:spacing w:after="120"/>
        <w:rPr>
          <w:b/>
        </w:rPr>
      </w:pPr>
      <w:r w:rsidRPr="005571B0">
        <w:rPr>
          <w:b/>
        </w:rPr>
        <w:t>Texas A&amp;M International University</w:t>
      </w:r>
    </w:p>
    <w:tbl>
      <w:tblPr>
        <w:tblStyle w:val="TableGrid1"/>
        <w:tblW w:w="9360" w:type="dxa"/>
        <w:tblLook w:val="04A0" w:firstRow="1" w:lastRow="0" w:firstColumn="1" w:lastColumn="0" w:noHBand="0" w:noVBand="1"/>
      </w:tblPr>
      <w:tblGrid>
        <w:gridCol w:w="2880"/>
        <w:gridCol w:w="6480"/>
      </w:tblGrid>
      <w:tr w:rsidR="00C06A00" w:rsidRPr="005571B0" w:rsidTr="008909D7">
        <w:tc>
          <w:tcPr>
            <w:tcW w:w="2880" w:type="dxa"/>
          </w:tcPr>
          <w:p w:rsidR="00C06A00" w:rsidRPr="005571B0" w:rsidRDefault="00C06A00" w:rsidP="008909D7">
            <w:pPr>
              <w:rPr>
                <w:b/>
              </w:rPr>
            </w:pPr>
            <w:r w:rsidRPr="005571B0">
              <w:rPr>
                <w:b/>
              </w:rPr>
              <w:t>Application Fee</w:t>
            </w:r>
          </w:p>
        </w:tc>
        <w:tc>
          <w:tcPr>
            <w:tcW w:w="6480" w:type="dxa"/>
          </w:tcPr>
          <w:p w:rsidR="00C06A00" w:rsidRPr="005571B0" w:rsidRDefault="00C06A00" w:rsidP="008909D7">
            <w:pPr>
              <w:rPr>
                <w:color w:val="000000"/>
              </w:rPr>
            </w:pPr>
            <w:r w:rsidRPr="005571B0">
              <w:rPr>
                <w:color w:val="000000"/>
              </w:rPr>
              <w:t>No fee required</w:t>
            </w:r>
          </w:p>
        </w:tc>
      </w:tr>
      <w:tr w:rsidR="00C06A00" w:rsidRPr="005571B0" w:rsidTr="008909D7">
        <w:tc>
          <w:tcPr>
            <w:tcW w:w="2880" w:type="dxa"/>
          </w:tcPr>
          <w:p w:rsidR="00C06A00" w:rsidRPr="005571B0" w:rsidRDefault="00C06A00" w:rsidP="008909D7">
            <w:pPr>
              <w:rPr>
                <w:b/>
              </w:rPr>
            </w:pPr>
            <w:r w:rsidRPr="005571B0">
              <w:rPr>
                <w:b/>
              </w:rPr>
              <w:t>Admission Under Uniform Admission Policy*</w:t>
            </w:r>
          </w:p>
        </w:tc>
        <w:tc>
          <w:tcPr>
            <w:tcW w:w="6480" w:type="dxa"/>
          </w:tcPr>
          <w:p w:rsidR="00C06A00" w:rsidRPr="005571B0" w:rsidRDefault="00C06A00" w:rsidP="008909D7">
            <w:pPr>
              <w:rPr>
                <w:color w:val="000000"/>
              </w:rPr>
            </w:pPr>
            <w:r w:rsidRPr="005571B0">
              <w:rPr>
                <w:color w:val="000000"/>
              </w:rPr>
              <w:t xml:space="preserve">Top 25%  </w:t>
            </w:r>
          </w:p>
          <w:p w:rsidR="00C06A00" w:rsidRPr="005571B0" w:rsidRDefault="00C06A00" w:rsidP="008909D7">
            <w:pPr>
              <w:rPr>
                <w:color w:val="000000"/>
              </w:rPr>
            </w:pPr>
          </w:p>
        </w:tc>
      </w:tr>
      <w:tr w:rsidR="00131371" w:rsidRPr="005571B0" w:rsidTr="008909D7">
        <w:tc>
          <w:tcPr>
            <w:tcW w:w="2880" w:type="dxa"/>
          </w:tcPr>
          <w:p w:rsidR="00131371" w:rsidRPr="005571B0" w:rsidRDefault="00131371" w:rsidP="008909D7">
            <w:pPr>
              <w:rPr>
                <w:b/>
              </w:rPr>
            </w:pPr>
            <w:r>
              <w:rPr>
                <w:b/>
              </w:rPr>
              <w:t>Standardized Test Policy</w:t>
            </w:r>
          </w:p>
        </w:tc>
        <w:tc>
          <w:tcPr>
            <w:tcW w:w="6480" w:type="dxa"/>
          </w:tcPr>
          <w:p w:rsidR="00131371" w:rsidRPr="005571B0" w:rsidRDefault="00131371" w:rsidP="008909D7">
            <w:pPr>
              <w:rPr>
                <w:color w:val="000000"/>
              </w:rPr>
            </w:pPr>
          </w:p>
        </w:tc>
      </w:tr>
      <w:tr w:rsidR="00C06A00" w:rsidRPr="005571B0" w:rsidTr="008909D7">
        <w:tc>
          <w:tcPr>
            <w:tcW w:w="2880" w:type="dxa"/>
          </w:tcPr>
          <w:p w:rsidR="00C06A00" w:rsidRPr="005571B0" w:rsidRDefault="00C06A00" w:rsidP="008909D7">
            <w:pPr>
              <w:rPr>
                <w:b/>
                <w:vertAlign w:val="superscript"/>
              </w:rPr>
            </w:pPr>
            <w:r w:rsidRPr="005571B0">
              <w:rPr>
                <w:b/>
              </w:rPr>
              <w:t>Standards for Full Admission</w:t>
            </w:r>
            <w:r w:rsidRPr="005571B0">
              <w:rPr>
                <w:b/>
                <w:vertAlign w:val="superscript"/>
              </w:rPr>
              <w:t>1</w:t>
            </w:r>
          </w:p>
        </w:tc>
        <w:tc>
          <w:tcPr>
            <w:tcW w:w="6480" w:type="dxa"/>
          </w:tcPr>
          <w:p w:rsidR="00C06A00" w:rsidRPr="005571B0" w:rsidRDefault="00C06A00" w:rsidP="008909D7">
            <w:pPr>
              <w:rPr>
                <w:color w:val="000000"/>
              </w:rPr>
            </w:pPr>
            <w:r w:rsidRPr="005571B0">
              <w:rPr>
                <w:color w:val="000000"/>
              </w:rPr>
              <w:t xml:space="preserve">Rank first 40% of HS class must have official SAT/ACT scores;   </w:t>
            </w:r>
          </w:p>
          <w:p w:rsidR="00C06A00" w:rsidRPr="005571B0" w:rsidRDefault="00C06A00" w:rsidP="008909D7">
            <w:r w:rsidRPr="005571B0">
              <w:rPr>
                <w:color w:val="000000"/>
              </w:rPr>
              <w:t>Lower 60% must have a 900 SAT (CR+M) or 980 New SAT Total, or an 19 ACT</w:t>
            </w:r>
          </w:p>
        </w:tc>
      </w:tr>
      <w:tr w:rsidR="00C06A00" w:rsidRPr="005571B0" w:rsidTr="008909D7">
        <w:tc>
          <w:tcPr>
            <w:tcW w:w="2880" w:type="dxa"/>
          </w:tcPr>
          <w:p w:rsidR="00C06A00" w:rsidRPr="005571B0" w:rsidRDefault="00C06A00" w:rsidP="008909D7">
            <w:pPr>
              <w:rPr>
                <w:b/>
              </w:rPr>
            </w:pPr>
            <w:bookmarkStart w:id="0" w:name="_GoBack"/>
            <w:bookmarkEnd w:id="0"/>
            <w:r w:rsidRPr="005571B0">
              <w:rPr>
                <w:b/>
              </w:rPr>
              <w:t>High School Program, Curriculum or Course Work</w:t>
            </w:r>
            <w:r w:rsidRPr="005571B0">
              <w:rPr>
                <w:b/>
                <w:vertAlign w:val="superscript"/>
              </w:rPr>
              <w:t>2</w:t>
            </w:r>
            <w:r w:rsidRPr="005571B0">
              <w:rPr>
                <w:b/>
              </w:rPr>
              <w:t xml:space="preserve"> </w:t>
            </w:r>
          </w:p>
        </w:tc>
        <w:tc>
          <w:tcPr>
            <w:tcW w:w="6480" w:type="dxa"/>
          </w:tcPr>
          <w:p w:rsidR="00C06A00" w:rsidRPr="005571B0" w:rsidRDefault="00C06A00" w:rsidP="008909D7">
            <w:pPr>
              <w:rPr>
                <w:color w:val="000000"/>
              </w:rPr>
            </w:pPr>
            <w:r w:rsidRPr="005571B0">
              <w:rPr>
                <w:color w:val="000000"/>
              </w:rPr>
              <w:t>Students must complete any of the high school graduation programs recognized by the Texas Education Agency, including the Texas Foundation High School Program with Endorsement(s), Distinguished Level of Achievement Program, the International Baccalaureate Diploma Program, or the Recommended High School Program or high school program of equivalent rigor.</w:t>
            </w:r>
          </w:p>
        </w:tc>
      </w:tr>
      <w:tr w:rsidR="00C06A00" w:rsidRPr="005571B0" w:rsidTr="008909D7">
        <w:tc>
          <w:tcPr>
            <w:tcW w:w="2880" w:type="dxa"/>
          </w:tcPr>
          <w:p w:rsidR="00C06A00" w:rsidRPr="005571B0" w:rsidRDefault="00C06A00" w:rsidP="008909D7">
            <w:pPr>
              <w:rPr>
                <w:b/>
              </w:rPr>
            </w:pPr>
            <w:r w:rsidRPr="005571B0">
              <w:rPr>
                <w:b/>
              </w:rPr>
              <w:t>Conditional Admission and Requirements for Full Admission</w:t>
            </w:r>
          </w:p>
        </w:tc>
        <w:tc>
          <w:tcPr>
            <w:tcW w:w="6480" w:type="dxa"/>
          </w:tcPr>
          <w:p w:rsidR="00C06A00" w:rsidRPr="005571B0" w:rsidRDefault="00C06A00" w:rsidP="008909D7">
            <w:pPr>
              <w:rPr>
                <w:b/>
                <w:color w:val="000000"/>
              </w:rPr>
            </w:pPr>
            <w:r w:rsidRPr="005571B0">
              <w:rPr>
                <w:b/>
                <w:color w:val="000000"/>
              </w:rPr>
              <w:t>Provisional Admissions:</w:t>
            </w:r>
          </w:p>
          <w:p w:rsidR="00C06A00" w:rsidRPr="005571B0" w:rsidRDefault="00C06A00" w:rsidP="008909D7">
            <w:r w:rsidRPr="005571B0">
              <w:rPr>
                <w:color w:val="000000"/>
              </w:rPr>
              <w:t>Lower 60% of HS class with 840 SAT (CR+M) or 920 New SAT Total or 17 ACT composite.</w:t>
            </w:r>
          </w:p>
        </w:tc>
      </w:tr>
      <w:tr w:rsidR="00C06A00" w:rsidRPr="005571B0" w:rsidTr="008909D7">
        <w:tc>
          <w:tcPr>
            <w:tcW w:w="2880" w:type="dxa"/>
          </w:tcPr>
          <w:p w:rsidR="00C06A00" w:rsidRPr="005571B0" w:rsidRDefault="00C06A00" w:rsidP="008909D7">
            <w:pPr>
              <w:rPr>
                <w:b/>
              </w:rPr>
            </w:pPr>
            <w:r w:rsidRPr="005571B0">
              <w:rPr>
                <w:b/>
              </w:rPr>
              <w:t>International Applicant English Proficiency Requirements**</w:t>
            </w:r>
          </w:p>
        </w:tc>
        <w:tc>
          <w:tcPr>
            <w:tcW w:w="6480" w:type="dxa"/>
          </w:tcPr>
          <w:p w:rsidR="00C06A00" w:rsidRPr="005571B0" w:rsidRDefault="00C06A00" w:rsidP="008909D7">
            <w:pPr>
              <w:rPr>
                <w:color w:val="000000"/>
              </w:rPr>
            </w:pPr>
            <w:r w:rsidRPr="005571B0">
              <w:rPr>
                <w:color w:val="000000"/>
              </w:rPr>
              <w:t>TOEFL:</w:t>
            </w:r>
          </w:p>
          <w:p w:rsidR="00C06A00" w:rsidRPr="005571B0" w:rsidRDefault="00C06A00" w:rsidP="008909D7">
            <w:pPr>
              <w:rPr>
                <w:color w:val="000000"/>
              </w:rPr>
            </w:pPr>
            <w:r w:rsidRPr="005571B0">
              <w:rPr>
                <w:color w:val="000000"/>
              </w:rPr>
              <w:t>523  Paper;</w:t>
            </w:r>
          </w:p>
          <w:p w:rsidR="00C06A00" w:rsidRPr="005571B0" w:rsidRDefault="00C06A00" w:rsidP="008909D7">
            <w:pPr>
              <w:rPr>
                <w:color w:val="000000"/>
              </w:rPr>
            </w:pPr>
            <w:r w:rsidRPr="005571B0">
              <w:rPr>
                <w:color w:val="000000"/>
              </w:rPr>
              <w:t>69 Internet based</w:t>
            </w:r>
          </w:p>
          <w:p w:rsidR="00C06A00" w:rsidRPr="005571B0" w:rsidRDefault="00C06A00" w:rsidP="008909D7">
            <w:pPr>
              <w:rPr>
                <w:color w:val="000000"/>
              </w:rPr>
            </w:pPr>
          </w:p>
          <w:p w:rsidR="00C06A00" w:rsidRPr="005571B0" w:rsidRDefault="00C06A00" w:rsidP="008909D7">
            <w:pPr>
              <w:rPr>
                <w:color w:val="000000"/>
              </w:rPr>
            </w:pPr>
            <w:r w:rsidRPr="005571B0">
              <w:rPr>
                <w:color w:val="000000"/>
              </w:rPr>
              <w:t>IELTS: 5.5</w:t>
            </w:r>
          </w:p>
          <w:p w:rsidR="00C06A00" w:rsidRPr="005571B0" w:rsidRDefault="00C06A00" w:rsidP="008909D7">
            <w:pPr>
              <w:rPr>
                <w:color w:val="000000"/>
              </w:rPr>
            </w:pPr>
          </w:p>
          <w:p w:rsidR="00C06A00" w:rsidRPr="005571B0" w:rsidRDefault="00C06A00" w:rsidP="008909D7">
            <w:pPr>
              <w:rPr>
                <w:color w:val="000000"/>
              </w:rPr>
            </w:pPr>
            <w:r w:rsidRPr="005571B0">
              <w:rPr>
                <w:color w:val="000000"/>
              </w:rPr>
              <w:t xml:space="preserve">TOFEL requirement will be waived if students obtain an ACT ENGL score of 20 or better, and/or and SAT (ERW) score of 520. </w:t>
            </w:r>
          </w:p>
          <w:p w:rsidR="00C06A00" w:rsidRPr="005571B0" w:rsidRDefault="00C06A00" w:rsidP="008909D7">
            <w:pPr>
              <w:rPr>
                <w:color w:val="000000"/>
              </w:rPr>
            </w:pPr>
          </w:p>
          <w:p w:rsidR="00C06A00" w:rsidRPr="005571B0" w:rsidRDefault="00C06A00" w:rsidP="008909D7">
            <w:pPr>
              <w:rPr>
                <w:color w:val="000000"/>
              </w:rPr>
            </w:pPr>
            <w:r w:rsidRPr="005571B0">
              <w:rPr>
                <w:color w:val="000000"/>
              </w:rPr>
              <w:t>Pearson English Language Test (PTE Academic)  Score – 47</w:t>
            </w:r>
          </w:p>
          <w:p w:rsidR="00C06A00" w:rsidRPr="005571B0" w:rsidRDefault="00C06A00" w:rsidP="008909D7"/>
        </w:tc>
      </w:tr>
      <w:tr w:rsidR="00C06A00" w:rsidRPr="005571B0" w:rsidTr="008909D7">
        <w:tc>
          <w:tcPr>
            <w:tcW w:w="2880" w:type="dxa"/>
          </w:tcPr>
          <w:p w:rsidR="00C06A00" w:rsidRPr="005571B0" w:rsidRDefault="00C06A00" w:rsidP="008909D7">
            <w:pPr>
              <w:rPr>
                <w:b/>
              </w:rPr>
            </w:pPr>
            <w:r w:rsidRPr="005571B0">
              <w:rPr>
                <w:b/>
              </w:rPr>
              <w:t>Other Requirements</w:t>
            </w:r>
          </w:p>
        </w:tc>
        <w:tc>
          <w:tcPr>
            <w:tcW w:w="6480" w:type="dxa"/>
          </w:tcPr>
          <w:p w:rsidR="00C06A00" w:rsidRPr="005571B0" w:rsidRDefault="00C06A00" w:rsidP="008909D7"/>
        </w:tc>
      </w:tr>
    </w:tbl>
    <w:p w:rsidR="00C06A00" w:rsidRDefault="00C06A00"/>
    <w:sectPr w:rsidR="00C06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00"/>
    <w:rsid w:val="00131371"/>
    <w:rsid w:val="00801C42"/>
    <w:rsid w:val="00B00836"/>
    <w:rsid w:val="00BA7E24"/>
    <w:rsid w:val="00C0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1A4D"/>
  <w15:chartTrackingRefBased/>
  <w15:docId w15:val="{43DDBE35-AB97-4749-9174-A327F4E0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6A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2022-01-31T19:58:00Z</dcterms:created>
  <dcterms:modified xsi:type="dcterms:W3CDTF">2022-01-31T19:58:00Z</dcterms:modified>
</cp:coreProperties>
</file>