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35" w:rsidRPr="009A0385" w:rsidRDefault="00566135" w:rsidP="00566135">
      <w:pPr>
        <w:keepNext/>
        <w:tabs>
          <w:tab w:val="left" w:pos="14130"/>
        </w:tabs>
        <w:ind w:right="270"/>
        <w:jc w:val="center"/>
        <w:outlineLvl w:val="1"/>
        <w:rPr>
          <w:b/>
          <w:color w:val="000000"/>
        </w:rPr>
      </w:pPr>
      <w:r w:rsidRPr="009A0385">
        <w:rPr>
          <w:b/>
          <w:color w:val="000000"/>
        </w:rPr>
        <w:t>The Texas A&amp;M University System Campuses</w:t>
      </w:r>
    </w:p>
    <w:p w:rsidR="00566135" w:rsidRPr="009A0385" w:rsidRDefault="00566135" w:rsidP="00566135">
      <w:pPr>
        <w:keepNext/>
        <w:tabs>
          <w:tab w:val="left" w:pos="14130"/>
        </w:tabs>
        <w:ind w:right="270"/>
        <w:jc w:val="center"/>
        <w:outlineLvl w:val="1"/>
        <w:rPr>
          <w:b/>
        </w:rPr>
      </w:pPr>
      <w:r w:rsidRPr="009A0385">
        <w:rPr>
          <w:b/>
        </w:rPr>
        <w:t>Freshman Admissions Standards</w:t>
      </w:r>
    </w:p>
    <w:p w:rsidR="00566135" w:rsidRPr="009A0385" w:rsidRDefault="00566135" w:rsidP="00566135">
      <w:pPr>
        <w:keepNext/>
        <w:tabs>
          <w:tab w:val="left" w:pos="14130"/>
        </w:tabs>
        <w:ind w:right="270"/>
        <w:jc w:val="center"/>
        <w:outlineLvl w:val="1"/>
        <w:rPr>
          <w:b/>
          <w:color w:val="000000"/>
        </w:rPr>
      </w:pPr>
      <w:r w:rsidRPr="009A0385">
        <w:rPr>
          <w:b/>
          <w:color w:val="000000"/>
        </w:rPr>
        <w:t>Final for Year 202</w:t>
      </w:r>
      <w:r>
        <w:rPr>
          <w:b/>
          <w:color w:val="000000"/>
        </w:rPr>
        <w:t>2</w:t>
      </w:r>
      <w:r w:rsidRPr="009A0385">
        <w:rPr>
          <w:b/>
          <w:color w:val="000000"/>
        </w:rPr>
        <w:t>-2</w:t>
      </w:r>
      <w:r>
        <w:rPr>
          <w:b/>
          <w:color w:val="000000"/>
        </w:rPr>
        <w:t>3</w:t>
      </w:r>
    </w:p>
    <w:p w:rsidR="00566135" w:rsidRDefault="00566135" w:rsidP="00566135">
      <w:pPr>
        <w:spacing w:after="120"/>
        <w:rPr>
          <w:b/>
        </w:rPr>
      </w:pPr>
    </w:p>
    <w:p w:rsidR="00566135" w:rsidRDefault="00566135" w:rsidP="00566135">
      <w:pPr>
        <w:spacing w:after="120"/>
      </w:pPr>
      <w:r w:rsidRPr="00A268B5">
        <w:rPr>
          <w:b/>
        </w:rPr>
        <w:t>Texas A&amp;M University-Commerce</w:t>
      </w:r>
      <w:r>
        <w:rPr>
          <w:b/>
        </w:rPr>
        <w:t xml:space="preserve"> </w:t>
      </w:r>
    </w:p>
    <w:tbl>
      <w:tblPr>
        <w:tblStyle w:val="TableGrid"/>
        <w:tblW w:w="9360" w:type="dxa"/>
        <w:tblLook w:val="04A0" w:firstRow="1" w:lastRow="0" w:firstColumn="1" w:lastColumn="0" w:noHBand="0" w:noVBand="1"/>
      </w:tblPr>
      <w:tblGrid>
        <w:gridCol w:w="2880"/>
        <w:gridCol w:w="6480"/>
      </w:tblGrid>
      <w:tr w:rsidR="00566135" w:rsidRPr="00A268B5" w:rsidTr="008909D7">
        <w:tc>
          <w:tcPr>
            <w:tcW w:w="2880" w:type="dxa"/>
          </w:tcPr>
          <w:p w:rsidR="00566135" w:rsidRPr="00A268B5" w:rsidRDefault="00566135" w:rsidP="008909D7">
            <w:pPr>
              <w:rPr>
                <w:b/>
              </w:rPr>
            </w:pPr>
            <w:r w:rsidRPr="00A268B5">
              <w:rPr>
                <w:b/>
              </w:rPr>
              <w:t>Application Fee</w:t>
            </w:r>
          </w:p>
        </w:tc>
        <w:tc>
          <w:tcPr>
            <w:tcW w:w="6480" w:type="dxa"/>
          </w:tcPr>
          <w:p w:rsidR="00566135" w:rsidRPr="00A268B5" w:rsidRDefault="00566135" w:rsidP="008909D7">
            <w:pPr>
              <w:rPr>
                <w:color w:val="000000"/>
              </w:rPr>
            </w:pPr>
            <w:r w:rsidRPr="00A268B5">
              <w:rPr>
                <w:color w:val="000000"/>
              </w:rPr>
              <w:t>None</w:t>
            </w:r>
          </w:p>
          <w:p w:rsidR="00566135" w:rsidRPr="00135B58" w:rsidRDefault="00566135" w:rsidP="008909D7">
            <w:pPr>
              <w:rPr>
                <w:color w:val="000000"/>
                <w:sz w:val="20"/>
                <w:szCs w:val="20"/>
              </w:rPr>
            </w:pPr>
          </w:p>
          <w:p w:rsidR="00566135" w:rsidRPr="00A268B5" w:rsidRDefault="00566135" w:rsidP="008909D7">
            <w:r w:rsidRPr="00A268B5">
              <w:rPr>
                <w:color w:val="000000"/>
              </w:rPr>
              <w:t>$</w:t>
            </w:r>
            <w:r w:rsidRPr="00A268B5">
              <w:t xml:space="preserve">60 </w:t>
            </w:r>
            <w:r w:rsidRPr="00A268B5">
              <w:rPr>
                <w:color w:val="000000"/>
              </w:rPr>
              <w:t>enrollment fee charged upon enrollment</w:t>
            </w:r>
          </w:p>
        </w:tc>
      </w:tr>
      <w:tr w:rsidR="00566135" w:rsidRPr="00A268B5" w:rsidTr="008909D7">
        <w:tc>
          <w:tcPr>
            <w:tcW w:w="2880" w:type="dxa"/>
          </w:tcPr>
          <w:p w:rsidR="00566135" w:rsidRPr="00A268B5" w:rsidRDefault="00566135" w:rsidP="008909D7">
            <w:pPr>
              <w:rPr>
                <w:b/>
              </w:rPr>
            </w:pPr>
            <w:r w:rsidRPr="00A268B5">
              <w:rPr>
                <w:b/>
              </w:rPr>
              <w:t>Admission Under Uniform Admission Policy*</w:t>
            </w:r>
          </w:p>
        </w:tc>
        <w:tc>
          <w:tcPr>
            <w:tcW w:w="6480" w:type="dxa"/>
          </w:tcPr>
          <w:p w:rsidR="00566135" w:rsidRPr="00A268B5" w:rsidRDefault="00566135" w:rsidP="008909D7">
            <w:r w:rsidRPr="00A268B5">
              <w:rPr>
                <w:color w:val="000000"/>
              </w:rPr>
              <w:t xml:space="preserve">Top </w:t>
            </w:r>
            <w:r>
              <w:rPr>
                <w:color w:val="000000"/>
              </w:rPr>
              <w:t>25</w:t>
            </w:r>
            <w:r w:rsidRPr="00A268B5">
              <w:rPr>
                <w:color w:val="000000"/>
              </w:rPr>
              <w:t xml:space="preserve">% </w:t>
            </w:r>
          </w:p>
        </w:tc>
      </w:tr>
      <w:tr w:rsidR="00566135" w:rsidRPr="00A268B5" w:rsidTr="008909D7">
        <w:tc>
          <w:tcPr>
            <w:tcW w:w="2880" w:type="dxa"/>
          </w:tcPr>
          <w:p w:rsidR="00566135" w:rsidRDefault="00566135" w:rsidP="008909D7">
            <w:pPr>
              <w:rPr>
                <w:b/>
              </w:rPr>
            </w:pPr>
            <w:r>
              <w:rPr>
                <w:b/>
              </w:rPr>
              <w:t>Standardized Test Policy</w:t>
            </w:r>
          </w:p>
          <w:p w:rsidR="00566135" w:rsidRPr="00A268B5" w:rsidRDefault="00566135" w:rsidP="008909D7">
            <w:pPr>
              <w:rPr>
                <w:b/>
              </w:rPr>
            </w:pPr>
            <w:bookmarkStart w:id="0" w:name="_GoBack"/>
            <w:bookmarkEnd w:id="0"/>
          </w:p>
        </w:tc>
        <w:tc>
          <w:tcPr>
            <w:tcW w:w="6480" w:type="dxa"/>
          </w:tcPr>
          <w:p w:rsidR="00566135" w:rsidRPr="00A268B5" w:rsidRDefault="00566135" w:rsidP="008909D7">
            <w:pPr>
              <w:rPr>
                <w:color w:val="000000"/>
              </w:rPr>
            </w:pPr>
          </w:p>
        </w:tc>
      </w:tr>
      <w:tr w:rsidR="00566135" w:rsidRPr="00A268B5" w:rsidTr="008909D7">
        <w:tc>
          <w:tcPr>
            <w:tcW w:w="2880" w:type="dxa"/>
          </w:tcPr>
          <w:p w:rsidR="00566135" w:rsidRPr="00A268B5" w:rsidRDefault="00566135" w:rsidP="008909D7">
            <w:pPr>
              <w:rPr>
                <w:b/>
                <w:vertAlign w:val="superscript"/>
              </w:rPr>
            </w:pPr>
            <w:r w:rsidRPr="00A268B5">
              <w:rPr>
                <w:b/>
              </w:rPr>
              <w:t>Standards for Full Admission</w:t>
            </w:r>
            <w:r w:rsidRPr="00A268B5">
              <w:rPr>
                <w:b/>
                <w:vertAlign w:val="superscript"/>
              </w:rPr>
              <w:t>1</w:t>
            </w:r>
          </w:p>
        </w:tc>
        <w:tc>
          <w:tcPr>
            <w:tcW w:w="6480" w:type="dxa"/>
          </w:tcPr>
          <w:p w:rsidR="00566135" w:rsidRPr="00A268B5" w:rsidRDefault="00566135" w:rsidP="008909D7">
            <w:pPr>
              <w:rPr>
                <w:color w:val="000000"/>
              </w:rPr>
            </w:pPr>
            <w:r w:rsidRPr="00A268B5">
              <w:rPr>
                <w:color w:val="000000"/>
              </w:rPr>
              <w:t xml:space="preserve">Top 30% or </w:t>
            </w:r>
          </w:p>
          <w:p w:rsidR="00566135" w:rsidRPr="00135B58" w:rsidRDefault="00566135" w:rsidP="008909D7">
            <w:pPr>
              <w:rPr>
                <w:color w:val="000000"/>
                <w:sz w:val="16"/>
                <w:szCs w:val="16"/>
              </w:rPr>
            </w:pPr>
          </w:p>
          <w:p w:rsidR="00566135" w:rsidRDefault="00566135" w:rsidP="008909D7">
            <w:pPr>
              <w:contextualSpacing/>
              <w:rPr>
                <w:color w:val="000000"/>
              </w:rPr>
            </w:pPr>
            <w:r>
              <w:rPr>
                <w:color w:val="000000"/>
              </w:rPr>
              <w:t>SAT combined math and evidence-based reading/writing score of 1060 or</w:t>
            </w:r>
          </w:p>
          <w:p w:rsidR="00566135" w:rsidRDefault="00566135" w:rsidP="008909D7">
            <w:pPr>
              <w:contextualSpacing/>
              <w:rPr>
                <w:color w:val="000000"/>
              </w:rPr>
            </w:pPr>
          </w:p>
          <w:p w:rsidR="00566135" w:rsidRPr="00A268B5" w:rsidRDefault="00566135" w:rsidP="008909D7">
            <w:pPr>
              <w:contextualSpacing/>
            </w:pPr>
            <w:r>
              <w:rPr>
                <w:color w:val="000000"/>
              </w:rPr>
              <w:t>ACT composite score of 21 or greater</w:t>
            </w:r>
          </w:p>
        </w:tc>
      </w:tr>
      <w:tr w:rsidR="00566135" w:rsidRPr="00A268B5" w:rsidTr="008909D7">
        <w:tc>
          <w:tcPr>
            <w:tcW w:w="2880" w:type="dxa"/>
          </w:tcPr>
          <w:p w:rsidR="00566135" w:rsidRPr="00A268B5" w:rsidRDefault="00566135" w:rsidP="008909D7">
            <w:pPr>
              <w:rPr>
                <w:b/>
                <w:vertAlign w:val="superscript"/>
              </w:rPr>
            </w:pPr>
            <w:r w:rsidRPr="00A268B5">
              <w:rPr>
                <w:b/>
              </w:rPr>
              <w:t>High School Program, Curriculum or Course Work</w:t>
            </w:r>
            <w:r w:rsidRPr="00A268B5">
              <w:rPr>
                <w:b/>
                <w:vertAlign w:val="superscript"/>
              </w:rPr>
              <w:t>2</w:t>
            </w:r>
          </w:p>
        </w:tc>
        <w:tc>
          <w:tcPr>
            <w:tcW w:w="6480" w:type="dxa"/>
          </w:tcPr>
          <w:p w:rsidR="00566135" w:rsidRPr="00A268B5" w:rsidRDefault="00566135" w:rsidP="008909D7">
            <w:r w:rsidRPr="00A268B5">
              <w:t xml:space="preserve">Foundation High School Program with at least one endorsement will be required for admission consideration.  Students are strongly recommended to complete one or more available endorsement(s) that include Algebra II or its equivalent as well as one science course from Biology, Chemistry or Physics.  </w:t>
            </w:r>
            <w:r w:rsidRPr="00A268B5">
              <w:rPr>
                <w:b/>
              </w:rPr>
              <w:t>Students applying for top 10% automatic admission must complete the foundation curriculum with the distinguished level of achievement.</w:t>
            </w:r>
            <w:r w:rsidRPr="00A268B5">
              <w:t xml:space="preserve">  </w:t>
            </w:r>
          </w:p>
        </w:tc>
      </w:tr>
      <w:tr w:rsidR="00566135" w:rsidRPr="00A268B5" w:rsidTr="008909D7">
        <w:tc>
          <w:tcPr>
            <w:tcW w:w="2880" w:type="dxa"/>
          </w:tcPr>
          <w:p w:rsidR="00566135" w:rsidRPr="00A268B5" w:rsidRDefault="00566135" w:rsidP="008909D7">
            <w:pPr>
              <w:rPr>
                <w:b/>
              </w:rPr>
            </w:pPr>
            <w:r w:rsidRPr="00A268B5">
              <w:rPr>
                <w:b/>
              </w:rPr>
              <w:t>Conditional Admission and Requirements for Full Admission</w:t>
            </w:r>
          </w:p>
        </w:tc>
        <w:tc>
          <w:tcPr>
            <w:tcW w:w="6480" w:type="dxa"/>
          </w:tcPr>
          <w:p w:rsidR="00566135" w:rsidRDefault="00566135" w:rsidP="008909D7">
            <w:r w:rsidRPr="00A268B5">
              <w:t xml:space="preserve">Applicants who do not meet </w:t>
            </w:r>
            <w:r>
              <w:t xml:space="preserve">uniform admission or standards for full admission </w:t>
            </w:r>
            <w:r w:rsidRPr="00A268B5">
              <w:t xml:space="preserve">will be reviewed by the Admission </w:t>
            </w:r>
            <w:r>
              <w:t xml:space="preserve">Appeal </w:t>
            </w:r>
            <w:r w:rsidRPr="00A268B5">
              <w:t>Committee.</w:t>
            </w:r>
          </w:p>
          <w:p w:rsidR="00566135" w:rsidRPr="00A268B5" w:rsidRDefault="00566135" w:rsidP="008909D7">
            <w:r w:rsidRPr="00A268B5">
              <w:t xml:space="preserve">  </w:t>
            </w:r>
          </w:p>
        </w:tc>
      </w:tr>
      <w:tr w:rsidR="00566135" w:rsidRPr="00A268B5" w:rsidTr="008909D7">
        <w:tc>
          <w:tcPr>
            <w:tcW w:w="2880" w:type="dxa"/>
          </w:tcPr>
          <w:p w:rsidR="00566135" w:rsidRPr="00A268B5" w:rsidRDefault="00566135" w:rsidP="008909D7">
            <w:pPr>
              <w:rPr>
                <w:b/>
              </w:rPr>
            </w:pPr>
            <w:r w:rsidRPr="00A268B5">
              <w:rPr>
                <w:b/>
              </w:rPr>
              <w:t>International Applicant English Proficiency Requirements**</w:t>
            </w:r>
          </w:p>
        </w:tc>
        <w:tc>
          <w:tcPr>
            <w:tcW w:w="6480" w:type="dxa"/>
          </w:tcPr>
          <w:p w:rsidR="00566135" w:rsidRPr="00A268B5" w:rsidRDefault="00566135" w:rsidP="008909D7">
            <w:r w:rsidRPr="00A268B5">
              <w:t>TOEFL:</w:t>
            </w:r>
            <w:r>
              <w:t xml:space="preserve"> </w:t>
            </w:r>
            <w:r w:rsidRPr="00A268B5">
              <w:t>550 paper</w:t>
            </w:r>
            <w:r>
              <w:t xml:space="preserve">, </w:t>
            </w:r>
            <w:r w:rsidRPr="00A268B5">
              <w:t xml:space="preserve">79 internet based  </w:t>
            </w:r>
          </w:p>
          <w:p w:rsidR="00566135" w:rsidRDefault="00566135" w:rsidP="008909D7">
            <w:r w:rsidRPr="00A268B5">
              <w:t>IELTS:  6.0</w:t>
            </w:r>
            <w:r>
              <w:t xml:space="preserve"> overall or higher</w:t>
            </w:r>
          </w:p>
          <w:p w:rsidR="00566135" w:rsidRDefault="00566135" w:rsidP="008909D7">
            <w:proofErr w:type="spellStart"/>
            <w:r>
              <w:t>Duolingo</w:t>
            </w:r>
            <w:proofErr w:type="spellEnd"/>
            <w:r>
              <w:t>: 105 or higher</w:t>
            </w:r>
          </w:p>
          <w:p w:rsidR="00566135" w:rsidRPr="00A268B5" w:rsidRDefault="00566135" w:rsidP="008909D7">
            <w:r>
              <w:t>Or completion of a bachelor’s degree or higher degree from a US regionally accredited university</w:t>
            </w:r>
            <w:r w:rsidRPr="00A268B5">
              <w:rPr>
                <w:color w:val="000000"/>
              </w:rPr>
              <w:t xml:space="preserve"> </w:t>
            </w:r>
            <w:r>
              <w:t xml:space="preserve">  </w:t>
            </w:r>
          </w:p>
        </w:tc>
      </w:tr>
    </w:tbl>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35"/>
    <w:rsid w:val="00566135"/>
    <w:rsid w:val="005F48D4"/>
    <w:rsid w:val="00801C42"/>
    <w:rsid w:val="00B00836"/>
    <w:rsid w:val="00B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1842"/>
  <w15:chartTrackingRefBased/>
  <w15:docId w15:val="{6630FE05-CB6E-43D1-8F3E-AEBEAEFE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1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2022-01-31T19:59:00Z</dcterms:created>
  <dcterms:modified xsi:type="dcterms:W3CDTF">2022-01-31T19:59:00Z</dcterms:modified>
</cp:coreProperties>
</file>