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E6" w:rsidRPr="009A0385" w:rsidRDefault="00BA6DE6" w:rsidP="00BA6DE6">
      <w:pPr>
        <w:keepNext/>
        <w:tabs>
          <w:tab w:val="left" w:pos="14130"/>
        </w:tabs>
        <w:ind w:right="270"/>
        <w:jc w:val="center"/>
        <w:outlineLvl w:val="1"/>
        <w:rPr>
          <w:b/>
          <w:color w:val="000000"/>
        </w:rPr>
      </w:pPr>
      <w:bookmarkStart w:id="0" w:name="_GoBack"/>
      <w:bookmarkEnd w:id="0"/>
      <w:r w:rsidRPr="009A0385">
        <w:rPr>
          <w:b/>
          <w:color w:val="000000"/>
        </w:rPr>
        <w:t>The Texas A&amp;M University System Campuses</w:t>
      </w:r>
    </w:p>
    <w:p w:rsidR="00BA6DE6" w:rsidRPr="009A0385" w:rsidRDefault="00BA6DE6" w:rsidP="00BA6DE6">
      <w:pPr>
        <w:keepNext/>
        <w:tabs>
          <w:tab w:val="left" w:pos="14130"/>
        </w:tabs>
        <w:ind w:right="270"/>
        <w:jc w:val="center"/>
        <w:outlineLvl w:val="1"/>
        <w:rPr>
          <w:b/>
        </w:rPr>
      </w:pPr>
      <w:r w:rsidRPr="009A0385">
        <w:rPr>
          <w:b/>
        </w:rPr>
        <w:t>Freshman Admissions Standards</w:t>
      </w:r>
    </w:p>
    <w:p w:rsidR="00BA6DE6" w:rsidRPr="009A0385" w:rsidRDefault="00BA6DE6" w:rsidP="00BA6DE6">
      <w:pPr>
        <w:keepNext/>
        <w:tabs>
          <w:tab w:val="left" w:pos="14130"/>
        </w:tabs>
        <w:ind w:right="270"/>
        <w:jc w:val="center"/>
        <w:outlineLvl w:val="1"/>
        <w:rPr>
          <w:b/>
          <w:color w:val="000000"/>
        </w:rPr>
      </w:pPr>
      <w:r w:rsidRPr="009A0385">
        <w:rPr>
          <w:b/>
          <w:color w:val="000000"/>
        </w:rPr>
        <w:t>Final for Year 202</w:t>
      </w:r>
      <w:r>
        <w:rPr>
          <w:b/>
          <w:color w:val="000000"/>
        </w:rPr>
        <w:t>2</w:t>
      </w:r>
      <w:r w:rsidRPr="009A0385">
        <w:rPr>
          <w:b/>
          <w:color w:val="000000"/>
        </w:rPr>
        <w:t>-2</w:t>
      </w:r>
      <w:r>
        <w:rPr>
          <w:b/>
          <w:color w:val="000000"/>
        </w:rPr>
        <w:t>3</w:t>
      </w:r>
    </w:p>
    <w:p w:rsidR="00BA6DE6" w:rsidRPr="009A0385" w:rsidRDefault="00BA6DE6" w:rsidP="00BA6DE6">
      <w:pPr>
        <w:spacing w:after="120"/>
        <w:rPr>
          <w:b/>
        </w:rPr>
      </w:pPr>
    </w:p>
    <w:p w:rsidR="00BA6DE6" w:rsidRPr="009A0385" w:rsidRDefault="00BA6DE6" w:rsidP="00BA6DE6">
      <w:pPr>
        <w:spacing w:after="120"/>
        <w:rPr>
          <w:b/>
          <w:color w:val="000000"/>
        </w:rPr>
      </w:pPr>
      <w:r w:rsidRPr="009A0385">
        <w:rPr>
          <w:b/>
          <w:color w:val="000000"/>
        </w:rPr>
        <w:t>Tarleton State University</w:t>
      </w:r>
    </w:p>
    <w:tbl>
      <w:tblPr>
        <w:tblStyle w:val="TableGrid3"/>
        <w:tblW w:w="9360" w:type="dxa"/>
        <w:tblLook w:val="04A0" w:firstRow="1" w:lastRow="0" w:firstColumn="1" w:lastColumn="0" w:noHBand="0" w:noVBand="1"/>
      </w:tblPr>
      <w:tblGrid>
        <w:gridCol w:w="2880"/>
        <w:gridCol w:w="6480"/>
      </w:tblGrid>
      <w:tr w:rsidR="00BA6DE6" w:rsidRPr="009A0385" w:rsidTr="008909D7">
        <w:trPr>
          <w:trHeight w:val="728"/>
        </w:trPr>
        <w:tc>
          <w:tcPr>
            <w:tcW w:w="2880" w:type="dxa"/>
          </w:tcPr>
          <w:p w:rsidR="00BA6DE6" w:rsidRPr="009A0385" w:rsidRDefault="00BA6DE6" w:rsidP="008909D7">
            <w:pPr>
              <w:rPr>
                <w:b/>
              </w:rPr>
            </w:pPr>
            <w:r w:rsidRPr="009A0385">
              <w:rPr>
                <w:b/>
              </w:rPr>
              <w:t>Application Fee</w:t>
            </w:r>
          </w:p>
        </w:tc>
        <w:tc>
          <w:tcPr>
            <w:tcW w:w="6480" w:type="dxa"/>
          </w:tcPr>
          <w:p w:rsidR="00BA6DE6" w:rsidRPr="009A0385" w:rsidRDefault="00BA6DE6" w:rsidP="008909D7">
            <w:pPr>
              <w:rPr>
                <w:rFonts w:eastAsiaTheme="minorEastAsia"/>
              </w:rPr>
            </w:pPr>
            <w:r w:rsidRPr="009A0385">
              <w:rPr>
                <w:rFonts w:eastAsiaTheme="minorEastAsia"/>
              </w:rPr>
              <w:t>$50 non-refundable fee</w:t>
            </w:r>
          </w:p>
          <w:p w:rsidR="00BA6DE6" w:rsidRPr="009A0385" w:rsidRDefault="00BA6DE6" w:rsidP="008909D7">
            <w:pPr>
              <w:rPr>
                <w:rFonts w:eastAsiaTheme="minorEastAsia"/>
                <w:sz w:val="16"/>
                <w:szCs w:val="16"/>
              </w:rPr>
            </w:pPr>
          </w:p>
          <w:p w:rsidR="00BA6DE6" w:rsidRPr="009A0385" w:rsidRDefault="00BA6DE6" w:rsidP="008909D7">
            <w:pPr>
              <w:spacing w:after="200" w:line="276" w:lineRule="auto"/>
            </w:pPr>
            <w:r w:rsidRPr="009A0385">
              <w:rPr>
                <w:rFonts w:eastAsiaTheme="minorEastAsia"/>
              </w:rPr>
              <w:t>International: $50 non-refundable fee</w:t>
            </w:r>
          </w:p>
        </w:tc>
      </w:tr>
      <w:tr w:rsidR="00BA6DE6" w:rsidRPr="009A0385" w:rsidTr="008909D7">
        <w:tc>
          <w:tcPr>
            <w:tcW w:w="2880" w:type="dxa"/>
          </w:tcPr>
          <w:p w:rsidR="00BA6DE6" w:rsidRPr="009A0385" w:rsidRDefault="00BA6DE6" w:rsidP="008909D7">
            <w:pPr>
              <w:rPr>
                <w:b/>
              </w:rPr>
            </w:pPr>
            <w:r w:rsidRPr="009A0385">
              <w:rPr>
                <w:b/>
              </w:rPr>
              <w:t>Admission Under Uniform Admission Policy*</w:t>
            </w:r>
          </w:p>
        </w:tc>
        <w:tc>
          <w:tcPr>
            <w:tcW w:w="6480" w:type="dxa"/>
          </w:tcPr>
          <w:p w:rsidR="00BA6DE6" w:rsidRPr="009A0385" w:rsidRDefault="00BA6DE6" w:rsidP="008909D7">
            <w:pPr>
              <w:rPr>
                <w:rFonts w:eastAsiaTheme="minorEastAsia"/>
                <w:b/>
                <w:u w:val="single"/>
              </w:rPr>
            </w:pPr>
            <w:r w:rsidRPr="009A0385">
              <w:rPr>
                <w:rFonts w:eastAsiaTheme="minorEastAsia"/>
              </w:rPr>
              <w:t>Top</w:t>
            </w:r>
            <w:r w:rsidRPr="009A0385">
              <w:rPr>
                <w:rFonts w:eastAsiaTheme="minorEastAsia"/>
                <w:i/>
              </w:rPr>
              <w:t xml:space="preserve"> </w:t>
            </w:r>
            <w:r w:rsidRPr="009A0385">
              <w:rPr>
                <w:rFonts w:eastAsiaTheme="minorEastAsia"/>
              </w:rPr>
              <w:t>25%</w:t>
            </w:r>
          </w:p>
        </w:tc>
      </w:tr>
      <w:tr w:rsidR="004C0BE9" w:rsidRPr="009A0385" w:rsidTr="008909D7">
        <w:tc>
          <w:tcPr>
            <w:tcW w:w="2880" w:type="dxa"/>
          </w:tcPr>
          <w:p w:rsidR="004C0BE9" w:rsidRDefault="004C0BE9" w:rsidP="008909D7">
            <w:pPr>
              <w:rPr>
                <w:b/>
              </w:rPr>
            </w:pPr>
            <w:r>
              <w:rPr>
                <w:b/>
              </w:rPr>
              <w:t>Standardized Test Policy</w:t>
            </w:r>
          </w:p>
          <w:p w:rsidR="004C0BE9" w:rsidRPr="009A0385" w:rsidRDefault="004C0BE9" w:rsidP="008909D7">
            <w:pPr>
              <w:rPr>
                <w:b/>
              </w:rPr>
            </w:pPr>
          </w:p>
        </w:tc>
        <w:tc>
          <w:tcPr>
            <w:tcW w:w="6480" w:type="dxa"/>
          </w:tcPr>
          <w:p w:rsidR="004C0BE9" w:rsidRPr="009A0385" w:rsidRDefault="004C0BE9" w:rsidP="008909D7">
            <w:pPr>
              <w:rPr>
                <w:rFonts w:eastAsiaTheme="minorEastAsia"/>
              </w:rPr>
            </w:pPr>
          </w:p>
        </w:tc>
      </w:tr>
      <w:tr w:rsidR="00BA6DE6" w:rsidRPr="009A0385" w:rsidTr="008909D7">
        <w:tc>
          <w:tcPr>
            <w:tcW w:w="2880" w:type="dxa"/>
          </w:tcPr>
          <w:p w:rsidR="00BA6DE6" w:rsidRPr="009A0385" w:rsidRDefault="00BA6DE6" w:rsidP="008909D7">
            <w:pPr>
              <w:rPr>
                <w:b/>
                <w:vertAlign w:val="superscript"/>
              </w:rPr>
            </w:pPr>
            <w:r w:rsidRPr="009A0385">
              <w:rPr>
                <w:b/>
              </w:rPr>
              <w:t>Standards for Full Admission</w:t>
            </w:r>
            <w:r w:rsidRPr="009A0385">
              <w:rPr>
                <w:b/>
                <w:vertAlign w:val="superscript"/>
              </w:rPr>
              <w:t>1</w:t>
            </w:r>
          </w:p>
        </w:tc>
        <w:tc>
          <w:tcPr>
            <w:tcW w:w="6480" w:type="dxa"/>
          </w:tcPr>
          <w:p w:rsidR="00BA6DE6" w:rsidRPr="009A0385" w:rsidRDefault="00BA6DE6" w:rsidP="008909D7">
            <w:pPr>
              <w:rPr>
                <w:rFonts w:eastAsiaTheme="minorEastAsia"/>
              </w:rPr>
            </w:pPr>
            <w:r w:rsidRPr="009A0385">
              <w:rPr>
                <w:rFonts w:eastAsiaTheme="minorEastAsia"/>
              </w:rPr>
              <w:t>*</w:t>
            </w:r>
            <w:r>
              <w:rPr>
                <w:rFonts w:eastAsiaTheme="minorEastAsia"/>
              </w:rPr>
              <w:t>1</w:t>
            </w:r>
            <w:r w:rsidRPr="00386F6B">
              <w:rPr>
                <w:rFonts w:eastAsiaTheme="minorEastAsia"/>
                <w:vertAlign w:val="superscript"/>
              </w:rPr>
              <w:t>st</w:t>
            </w:r>
            <w:r>
              <w:rPr>
                <w:rFonts w:eastAsiaTheme="minorEastAsia"/>
              </w:rPr>
              <w:t xml:space="preserve"> and </w:t>
            </w:r>
            <w:r w:rsidRPr="009A0385">
              <w:rPr>
                <w:rFonts w:eastAsiaTheme="minorEastAsia"/>
              </w:rPr>
              <w:t>2</w:t>
            </w:r>
            <w:r w:rsidRPr="009A0385">
              <w:rPr>
                <w:rFonts w:eastAsiaTheme="minorEastAsia"/>
                <w:vertAlign w:val="superscript"/>
              </w:rPr>
              <w:t>nd</w:t>
            </w:r>
            <w:r w:rsidRPr="009A0385">
              <w:rPr>
                <w:rFonts w:eastAsiaTheme="minorEastAsia"/>
              </w:rPr>
              <w:t xml:space="preserve"> QTR: </w:t>
            </w:r>
            <w:r>
              <w:rPr>
                <w:rFonts w:eastAsiaTheme="minorEastAsia"/>
              </w:rPr>
              <w:t>Test scores not required for admission but encouraged for those seeking scholarships.</w:t>
            </w:r>
          </w:p>
          <w:p w:rsidR="00BA6DE6" w:rsidRDefault="00BA6DE6" w:rsidP="008909D7">
            <w:pPr>
              <w:rPr>
                <w:rFonts w:eastAsiaTheme="minorEastAsia"/>
              </w:rPr>
            </w:pPr>
            <w:r w:rsidRPr="009A0385">
              <w:rPr>
                <w:rFonts w:eastAsiaTheme="minorEastAsia"/>
              </w:rPr>
              <w:t>*3</w:t>
            </w:r>
            <w:r w:rsidRPr="009A0385">
              <w:rPr>
                <w:rFonts w:eastAsiaTheme="minorEastAsia"/>
                <w:vertAlign w:val="superscript"/>
              </w:rPr>
              <w:t>rd</w:t>
            </w:r>
            <w:r w:rsidRPr="009A0385">
              <w:rPr>
                <w:rFonts w:eastAsiaTheme="minorEastAsia"/>
              </w:rPr>
              <w:t xml:space="preserve"> QTR: individual review</w:t>
            </w:r>
          </w:p>
          <w:p w:rsidR="00BA6DE6" w:rsidRPr="009A0385" w:rsidRDefault="00BA6DE6" w:rsidP="008909D7">
            <w:pPr>
              <w:rPr>
                <w:rFonts w:eastAsiaTheme="minorEastAsia"/>
              </w:rPr>
            </w:pPr>
            <w:r>
              <w:rPr>
                <w:rFonts w:eastAsiaTheme="minorEastAsia"/>
              </w:rPr>
              <w:t>*Top 50%</w:t>
            </w:r>
          </w:p>
          <w:p w:rsidR="00BA6DE6" w:rsidRPr="009A0385" w:rsidRDefault="00BA6DE6" w:rsidP="008909D7"/>
        </w:tc>
      </w:tr>
      <w:tr w:rsidR="00BA6DE6" w:rsidRPr="009A0385" w:rsidTr="008909D7">
        <w:tc>
          <w:tcPr>
            <w:tcW w:w="2880" w:type="dxa"/>
          </w:tcPr>
          <w:p w:rsidR="00BA6DE6" w:rsidRPr="009A0385" w:rsidRDefault="00BA6DE6" w:rsidP="008909D7">
            <w:pPr>
              <w:rPr>
                <w:b/>
              </w:rPr>
            </w:pPr>
            <w:r w:rsidRPr="009A0385">
              <w:rPr>
                <w:b/>
              </w:rPr>
              <w:t>High School Program, Curriculum or Course Work</w:t>
            </w:r>
            <w:r w:rsidRPr="009A0385">
              <w:rPr>
                <w:b/>
                <w:vertAlign w:val="superscript"/>
              </w:rPr>
              <w:t>2</w:t>
            </w:r>
          </w:p>
        </w:tc>
        <w:tc>
          <w:tcPr>
            <w:tcW w:w="6480" w:type="dxa"/>
          </w:tcPr>
          <w:p w:rsidR="00BA6DE6" w:rsidRPr="009A0385" w:rsidRDefault="00BA6DE6" w:rsidP="008909D7">
            <w:pPr>
              <w:rPr>
                <w:rFonts w:eastAsiaTheme="minorEastAsia"/>
              </w:rPr>
            </w:pPr>
            <w:r w:rsidRPr="009A0385">
              <w:rPr>
                <w:rFonts w:eastAsiaTheme="minorEastAsia"/>
              </w:rPr>
              <w:t xml:space="preserve">Requires successful completion of the Distinguished Level of Achievement under the Foundation High School Program (Foundation with an Endorsement including Algebra II) </w:t>
            </w:r>
          </w:p>
          <w:p w:rsidR="00BA6DE6" w:rsidRPr="009A0385" w:rsidRDefault="00BA6DE6" w:rsidP="008909D7">
            <w:pPr>
              <w:rPr>
                <w:rFonts w:eastAsiaTheme="minorEastAsia"/>
              </w:rPr>
            </w:pPr>
            <w:r w:rsidRPr="009A0385">
              <w:rPr>
                <w:rFonts w:eastAsiaTheme="minorEastAsia"/>
              </w:rPr>
              <w:t>The Foundation with an Endorsement without Algebra II may be considered under an individual review process.</w:t>
            </w:r>
          </w:p>
          <w:p w:rsidR="00BA6DE6" w:rsidRPr="009A0385" w:rsidRDefault="00BA6DE6" w:rsidP="008909D7">
            <w:pPr>
              <w:rPr>
                <w:color w:val="000000"/>
              </w:rPr>
            </w:pPr>
          </w:p>
        </w:tc>
      </w:tr>
      <w:tr w:rsidR="00BA6DE6" w:rsidRPr="009A0385" w:rsidTr="008909D7">
        <w:tc>
          <w:tcPr>
            <w:tcW w:w="2880" w:type="dxa"/>
          </w:tcPr>
          <w:p w:rsidR="00BA6DE6" w:rsidRPr="009A0385" w:rsidRDefault="00BA6DE6" w:rsidP="008909D7">
            <w:pPr>
              <w:rPr>
                <w:b/>
              </w:rPr>
            </w:pPr>
            <w:r w:rsidRPr="009A0385">
              <w:rPr>
                <w:b/>
              </w:rPr>
              <w:t>Conditional Admission and Requirements for Full Admission</w:t>
            </w:r>
          </w:p>
        </w:tc>
        <w:tc>
          <w:tcPr>
            <w:tcW w:w="6480" w:type="dxa"/>
          </w:tcPr>
          <w:p w:rsidR="00BA6DE6" w:rsidRPr="009A0385" w:rsidRDefault="00BA6DE6" w:rsidP="008909D7">
            <w:r w:rsidRPr="009A0385">
              <w:rPr>
                <w:rFonts w:eastAsiaTheme="minorEastAsia"/>
              </w:rPr>
              <w:t>Students not meeting the institutional requirements for full admission may be reviewed for conditional admission which may require participation in an enhanced support or gateway program. Specific agreement conditions for admission will be enforced.</w:t>
            </w:r>
            <w:r w:rsidRPr="009A0385">
              <w:t xml:space="preserve"> </w:t>
            </w:r>
          </w:p>
        </w:tc>
      </w:tr>
      <w:tr w:rsidR="00BA6DE6" w:rsidRPr="009A0385" w:rsidTr="008909D7">
        <w:tc>
          <w:tcPr>
            <w:tcW w:w="2880" w:type="dxa"/>
          </w:tcPr>
          <w:p w:rsidR="00BA6DE6" w:rsidRPr="009A0385" w:rsidRDefault="00BA6DE6" w:rsidP="008909D7">
            <w:pPr>
              <w:rPr>
                <w:b/>
              </w:rPr>
            </w:pPr>
            <w:r w:rsidRPr="009A0385">
              <w:rPr>
                <w:b/>
              </w:rPr>
              <w:t>International Applicant English Proficiency Requirements**</w:t>
            </w:r>
          </w:p>
        </w:tc>
        <w:tc>
          <w:tcPr>
            <w:tcW w:w="6480" w:type="dxa"/>
          </w:tcPr>
          <w:p w:rsidR="00BA6DE6" w:rsidRPr="009A0385" w:rsidRDefault="00BA6DE6" w:rsidP="008909D7">
            <w:pPr>
              <w:rPr>
                <w:rFonts w:eastAsiaTheme="minorEastAsia"/>
              </w:rPr>
            </w:pPr>
            <w:r w:rsidRPr="009A0385">
              <w:rPr>
                <w:rFonts w:eastAsiaTheme="minorEastAsia"/>
              </w:rPr>
              <w:t>TOEFL:</w:t>
            </w:r>
          </w:p>
          <w:p w:rsidR="00BA6DE6" w:rsidRPr="009A0385" w:rsidRDefault="00BA6DE6" w:rsidP="008909D7">
            <w:pPr>
              <w:rPr>
                <w:rFonts w:eastAsiaTheme="minorEastAsia"/>
              </w:rPr>
            </w:pPr>
            <w:r w:rsidRPr="009A0385">
              <w:rPr>
                <w:rFonts w:eastAsiaTheme="minorEastAsia"/>
              </w:rPr>
              <w:t>520 – Paper based;</w:t>
            </w:r>
          </w:p>
          <w:p w:rsidR="00BA6DE6" w:rsidRPr="009A0385" w:rsidRDefault="00BA6DE6" w:rsidP="008909D7">
            <w:pPr>
              <w:rPr>
                <w:rFonts w:eastAsiaTheme="minorEastAsia"/>
              </w:rPr>
            </w:pPr>
            <w:r w:rsidRPr="009A0385">
              <w:rPr>
                <w:rFonts w:eastAsiaTheme="minorEastAsia"/>
              </w:rPr>
              <w:t>69 - Internet based;</w:t>
            </w:r>
          </w:p>
          <w:p w:rsidR="00BA6DE6" w:rsidRPr="009A0385" w:rsidRDefault="00BA6DE6" w:rsidP="008909D7">
            <w:pPr>
              <w:rPr>
                <w:rFonts w:eastAsiaTheme="minorEastAsia"/>
              </w:rPr>
            </w:pPr>
            <w:r w:rsidRPr="009A0385">
              <w:rPr>
                <w:rFonts w:eastAsiaTheme="minorEastAsia"/>
              </w:rPr>
              <w:t>IELTS: 6</w:t>
            </w:r>
          </w:p>
          <w:p w:rsidR="00BA6DE6" w:rsidRPr="009A0385" w:rsidRDefault="00BA6DE6" w:rsidP="008909D7">
            <w:pPr>
              <w:rPr>
                <w:rFonts w:eastAsiaTheme="minorEastAsia"/>
              </w:rPr>
            </w:pPr>
            <w:r w:rsidRPr="009A0385">
              <w:rPr>
                <w:rFonts w:eastAsiaTheme="minorEastAsia"/>
              </w:rPr>
              <w:t>PTE: 50</w:t>
            </w:r>
          </w:p>
          <w:p w:rsidR="00BA6DE6" w:rsidRPr="009A0385" w:rsidRDefault="00BA6DE6" w:rsidP="008909D7">
            <w:proofErr w:type="spellStart"/>
            <w:r w:rsidRPr="009A0385">
              <w:rPr>
                <w:rFonts w:eastAsiaTheme="minorEastAsia"/>
              </w:rPr>
              <w:t>iTEP</w:t>
            </w:r>
            <w:proofErr w:type="spellEnd"/>
            <w:r w:rsidRPr="009A0385">
              <w:rPr>
                <w:rFonts w:eastAsiaTheme="minorEastAsia"/>
              </w:rPr>
              <w:t>: 3.5</w:t>
            </w:r>
          </w:p>
        </w:tc>
      </w:tr>
      <w:tr w:rsidR="00BA6DE6" w:rsidRPr="009A0385" w:rsidTr="008909D7">
        <w:tc>
          <w:tcPr>
            <w:tcW w:w="2880" w:type="dxa"/>
          </w:tcPr>
          <w:p w:rsidR="00BA6DE6" w:rsidRPr="009A0385" w:rsidRDefault="00BA6DE6" w:rsidP="008909D7">
            <w:pPr>
              <w:rPr>
                <w:b/>
              </w:rPr>
            </w:pPr>
            <w:r w:rsidRPr="009A0385">
              <w:rPr>
                <w:b/>
              </w:rPr>
              <w:t>Other Requirements</w:t>
            </w:r>
          </w:p>
        </w:tc>
        <w:tc>
          <w:tcPr>
            <w:tcW w:w="6480" w:type="dxa"/>
          </w:tcPr>
          <w:p w:rsidR="00BA6DE6" w:rsidRPr="009A0385" w:rsidRDefault="00BA6DE6" w:rsidP="008909D7">
            <w:pPr>
              <w:rPr>
                <w:rFonts w:eastAsiaTheme="minorEastAsia"/>
              </w:rPr>
            </w:pPr>
            <w:r w:rsidRPr="009A0385">
              <w:rPr>
                <w:rFonts w:eastAsiaTheme="minorEastAsia"/>
              </w:rPr>
              <w:t>Foreign credentials must be evaluated by an accrediting agency that is recognized by the U.S.</w:t>
            </w:r>
          </w:p>
        </w:tc>
      </w:tr>
    </w:tbl>
    <w:p w:rsidR="00BA6DE6" w:rsidRDefault="00BA6DE6" w:rsidP="00BA6DE6">
      <w:pPr>
        <w:spacing w:after="120"/>
        <w:rPr>
          <w:b/>
        </w:rPr>
      </w:pPr>
    </w:p>
    <w:p w:rsidR="00801C42" w:rsidRDefault="00801C42"/>
    <w:sectPr w:rsidR="0080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E6"/>
    <w:rsid w:val="004C0BE9"/>
    <w:rsid w:val="00801C42"/>
    <w:rsid w:val="00B00836"/>
    <w:rsid w:val="00B82F4D"/>
    <w:rsid w:val="00BA6DE6"/>
    <w:rsid w:val="00BA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A976"/>
  <w15:chartTrackingRefBased/>
  <w15:docId w15:val="{13604D7E-53A1-4CC9-910B-8CB3668F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BA6D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2022-01-31T20:01:00Z</dcterms:created>
  <dcterms:modified xsi:type="dcterms:W3CDTF">2022-01-31T20:01:00Z</dcterms:modified>
</cp:coreProperties>
</file>