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6B9" w:rsidRPr="00B7504C" w:rsidRDefault="00C276B9" w:rsidP="00C276B9">
      <w:pPr>
        <w:keepNext/>
        <w:tabs>
          <w:tab w:val="left" w:pos="14130"/>
        </w:tabs>
        <w:ind w:right="270"/>
        <w:jc w:val="center"/>
        <w:outlineLvl w:val="1"/>
        <w:rPr>
          <w:b/>
          <w:color w:val="000000"/>
        </w:rPr>
      </w:pPr>
      <w:r w:rsidRPr="00B7504C">
        <w:rPr>
          <w:b/>
          <w:color w:val="000000"/>
        </w:rPr>
        <w:t xml:space="preserve">The Texas A&amp;M University System Campuses </w:t>
      </w:r>
    </w:p>
    <w:p w:rsidR="00C276B9" w:rsidRPr="00B7504C" w:rsidRDefault="00C276B9" w:rsidP="00C276B9">
      <w:pPr>
        <w:keepNext/>
        <w:tabs>
          <w:tab w:val="left" w:pos="14130"/>
        </w:tabs>
        <w:ind w:right="270"/>
        <w:jc w:val="center"/>
        <w:outlineLvl w:val="1"/>
        <w:rPr>
          <w:b/>
        </w:rPr>
      </w:pPr>
      <w:r w:rsidRPr="00B7504C">
        <w:rPr>
          <w:b/>
          <w:color w:val="000000"/>
        </w:rPr>
        <w:t>Transfer</w:t>
      </w:r>
      <w:r w:rsidRPr="00B7504C">
        <w:rPr>
          <w:b/>
        </w:rPr>
        <w:t xml:space="preserve"> Admissions Standards </w:t>
      </w:r>
    </w:p>
    <w:p w:rsidR="00C276B9" w:rsidRPr="00B7504C" w:rsidRDefault="00C276B9" w:rsidP="00C276B9">
      <w:pPr>
        <w:keepNext/>
        <w:tabs>
          <w:tab w:val="left" w:pos="14130"/>
        </w:tabs>
        <w:ind w:right="270"/>
        <w:jc w:val="center"/>
        <w:outlineLvl w:val="1"/>
        <w:rPr>
          <w:b/>
        </w:rPr>
      </w:pPr>
      <w:r w:rsidRPr="00B7504C">
        <w:rPr>
          <w:b/>
        </w:rPr>
        <w:t>Year 202</w:t>
      </w:r>
      <w:r>
        <w:rPr>
          <w:b/>
        </w:rPr>
        <w:t>2</w:t>
      </w:r>
      <w:r w:rsidRPr="00B7504C">
        <w:rPr>
          <w:b/>
        </w:rPr>
        <w:t>-2</w:t>
      </w:r>
      <w:r>
        <w:rPr>
          <w:b/>
        </w:rPr>
        <w:t>3</w:t>
      </w:r>
    </w:p>
    <w:p w:rsidR="00801C42" w:rsidRDefault="00801C42">
      <w:bookmarkStart w:id="0" w:name="_GoBack"/>
      <w:bookmarkEnd w:id="0"/>
    </w:p>
    <w:p w:rsidR="00C276B9" w:rsidRPr="007325A5" w:rsidRDefault="00C276B9" w:rsidP="00C276B9">
      <w:pPr>
        <w:spacing w:after="120"/>
        <w:rPr>
          <w:b/>
        </w:rPr>
      </w:pPr>
      <w:r w:rsidRPr="007325A5">
        <w:rPr>
          <w:b/>
        </w:rPr>
        <w:t>Texas A&amp;M University-Corpus Christi</w:t>
      </w:r>
    </w:p>
    <w:tbl>
      <w:tblPr>
        <w:tblStyle w:val="TableGrid"/>
        <w:tblW w:w="9360" w:type="dxa"/>
        <w:tblLook w:val="04A0" w:firstRow="1" w:lastRow="0" w:firstColumn="1" w:lastColumn="0" w:noHBand="0" w:noVBand="1"/>
      </w:tblPr>
      <w:tblGrid>
        <w:gridCol w:w="2880"/>
        <w:gridCol w:w="6480"/>
      </w:tblGrid>
      <w:tr w:rsidR="00C276B9" w:rsidRPr="007325A5" w:rsidTr="008909D7">
        <w:tc>
          <w:tcPr>
            <w:tcW w:w="2880" w:type="dxa"/>
          </w:tcPr>
          <w:p w:rsidR="00C276B9" w:rsidRPr="007325A5" w:rsidRDefault="00C276B9" w:rsidP="008909D7">
            <w:pPr>
              <w:rPr>
                <w:b/>
              </w:rPr>
            </w:pPr>
            <w:r w:rsidRPr="007325A5">
              <w:rPr>
                <w:b/>
              </w:rPr>
              <w:t>Application Fee</w:t>
            </w:r>
          </w:p>
        </w:tc>
        <w:tc>
          <w:tcPr>
            <w:tcW w:w="6480" w:type="dxa"/>
          </w:tcPr>
          <w:p w:rsidR="00C276B9" w:rsidRPr="007325A5" w:rsidRDefault="00C276B9" w:rsidP="008909D7">
            <w:pPr>
              <w:spacing w:before="60"/>
              <w:rPr>
                <w:color w:val="000000"/>
              </w:rPr>
            </w:pPr>
            <w:r w:rsidRPr="007325A5">
              <w:rPr>
                <w:color w:val="000000"/>
              </w:rPr>
              <w:t xml:space="preserve">$40 non-refundable </w:t>
            </w:r>
            <w:r>
              <w:rPr>
                <w:color w:val="000000"/>
              </w:rPr>
              <w:t>f</w:t>
            </w:r>
            <w:r w:rsidRPr="007325A5">
              <w:rPr>
                <w:color w:val="000000"/>
              </w:rPr>
              <w:t>ee</w:t>
            </w:r>
          </w:p>
          <w:p w:rsidR="00C276B9" w:rsidRDefault="00C276B9" w:rsidP="008909D7">
            <w:pPr>
              <w:rPr>
                <w:color w:val="000000"/>
              </w:rPr>
            </w:pPr>
            <w:r w:rsidRPr="007325A5">
              <w:rPr>
                <w:color w:val="000000"/>
              </w:rPr>
              <w:t>$75 non-refundable fee for international students</w:t>
            </w:r>
          </w:p>
          <w:p w:rsidR="00C276B9" w:rsidRPr="007325A5" w:rsidRDefault="00C276B9" w:rsidP="008909D7"/>
        </w:tc>
      </w:tr>
      <w:tr w:rsidR="00C276B9" w:rsidRPr="007325A5" w:rsidTr="008909D7">
        <w:tc>
          <w:tcPr>
            <w:tcW w:w="2880" w:type="dxa"/>
          </w:tcPr>
          <w:p w:rsidR="00C276B9" w:rsidRPr="007325A5" w:rsidRDefault="00C276B9" w:rsidP="008909D7">
            <w:pPr>
              <w:rPr>
                <w:b/>
              </w:rPr>
            </w:pPr>
            <w:r w:rsidRPr="007325A5">
              <w:rPr>
                <w:b/>
              </w:rPr>
              <w:t>Admissions Standards</w:t>
            </w:r>
          </w:p>
        </w:tc>
        <w:tc>
          <w:tcPr>
            <w:tcW w:w="6480" w:type="dxa"/>
          </w:tcPr>
          <w:p w:rsidR="00C276B9" w:rsidRPr="007325A5" w:rsidRDefault="00C276B9" w:rsidP="008909D7">
            <w:r w:rsidRPr="007325A5">
              <w:rPr>
                <w:color w:val="000000"/>
              </w:rPr>
              <w:t>Cumulative 2.0 GPA or greater on a 4.0 scale with 24+ transferable college level hours.  No remedial or duplicate courses may be transferred.</w:t>
            </w:r>
          </w:p>
        </w:tc>
      </w:tr>
      <w:tr w:rsidR="00C276B9" w:rsidRPr="007325A5" w:rsidTr="008909D7">
        <w:tc>
          <w:tcPr>
            <w:tcW w:w="2880" w:type="dxa"/>
          </w:tcPr>
          <w:p w:rsidR="00C276B9" w:rsidRPr="007325A5" w:rsidRDefault="00C276B9" w:rsidP="008909D7">
            <w:pPr>
              <w:rPr>
                <w:b/>
              </w:rPr>
            </w:pPr>
            <w:r w:rsidRPr="007325A5">
              <w:rPr>
                <w:b/>
              </w:rPr>
              <w:t>Use of High School Record</w:t>
            </w:r>
          </w:p>
        </w:tc>
        <w:tc>
          <w:tcPr>
            <w:tcW w:w="6480" w:type="dxa"/>
          </w:tcPr>
          <w:p w:rsidR="00C276B9" w:rsidRPr="007325A5" w:rsidRDefault="00C276B9" w:rsidP="008909D7">
            <w:r w:rsidRPr="007325A5">
              <w:t>1-23 SCH cumulative 2.0 GPA on a 4.0 scale and must meet freshmen admissions standards</w:t>
            </w:r>
          </w:p>
        </w:tc>
      </w:tr>
      <w:tr w:rsidR="00C276B9" w:rsidRPr="007325A5" w:rsidTr="008909D7">
        <w:tc>
          <w:tcPr>
            <w:tcW w:w="2880" w:type="dxa"/>
          </w:tcPr>
          <w:p w:rsidR="00C276B9" w:rsidRPr="007325A5" w:rsidRDefault="00C276B9" w:rsidP="008909D7">
            <w:pPr>
              <w:rPr>
                <w:b/>
              </w:rPr>
            </w:pPr>
            <w:r w:rsidRPr="007325A5">
              <w:rPr>
                <w:b/>
              </w:rPr>
              <w:t>Number of Articulation Agreements and Requirements for Admission</w:t>
            </w:r>
          </w:p>
        </w:tc>
        <w:tc>
          <w:tcPr>
            <w:tcW w:w="6480" w:type="dxa"/>
          </w:tcPr>
          <w:p w:rsidR="00C276B9" w:rsidRPr="007325A5" w:rsidRDefault="00C276B9" w:rsidP="00C276B9">
            <w:pPr>
              <w:numPr>
                <w:ilvl w:val="0"/>
                <w:numId w:val="1"/>
              </w:numPr>
              <w:spacing w:before="60"/>
              <w:contextualSpacing/>
              <w:rPr>
                <w:color w:val="000000"/>
              </w:rPr>
            </w:pPr>
            <w:r w:rsidRPr="007325A5">
              <w:rPr>
                <w:color w:val="000000"/>
              </w:rPr>
              <w:t>+*^#Del Mar College</w:t>
            </w:r>
          </w:p>
          <w:p w:rsidR="00C276B9" w:rsidRPr="007325A5" w:rsidRDefault="00C276B9" w:rsidP="008909D7">
            <w:pPr>
              <w:spacing w:before="60"/>
              <w:rPr>
                <w:color w:val="000000"/>
              </w:rPr>
            </w:pPr>
            <w:r w:rsidRPr="007325A5">
              <w:rPr>
                <w:color w:val="000000"/>
              </w:rPr>
              <w:t>+ Alamo Colleges (San Antonio College, St. Philip’s College, Northwest Vista College, Northeast Lakeview College &amp; Palo Alto College)</w:t>
            </w:r>
          </w:p>
          <w:p w:rsidR="00C276B9" w:rsidRPr="007325A5" w:rsidRDefault="00C276B9" w:rsidP="00C276B9">
            <w:pPr>
              <w:numPr>
                <w:ilvl w:val="0"/>
                <w:numId w:val="2"/>
              </w:numPr>
              <w:spacing w:before="60"/>
              <w:contextualSpacing/>
              <w:rPr>
                <w:color w:val="000000"/>
              </w:rPr>
            </w:pPr>
            <w:r w:rsidRPr="007325A5">
              <w:rPr>
                <w:color w:val="000000"/>
              </w:rPr>
              <w:t>Victoria College</w:t>
            </w:r>
          </w:p>
          <w:p w:rsidR="00C276B9" w:rsidRPr="007325A5" w:rsidRDefault="00C276B9" w:rsidP="00C276B9">
            <w:pPr>
              <w:numPr>
                <w:ilvl w:val="0"/>
                <w:numId w:val="3"/>
              </w:numPr>
              <w:spacing w:before="60"/>
              <w:contextualSpacing/>
              <w:rPr>
                <w:color w:val="000000"/>
              </w:rPr>
            </w:pPr>
            <w:r w:rsidRPr="007325A5">
              <w:rPr>
                <w:color w:val="000000"/>
              </w:rPr>
              <w:t>Temple College</w:t>
            </w:r>
          </w:p>
          <w:p w:rsidR="00C276B9" w:rsidRPr="007325A5" w:rsidRDefault="00C276B9" w:rsidP="00C276B9">
            <w:pPr>
              <w:numPr>
                <w:ilvl w:val="0"/>
                <w:numId w:val="4"/>
              </w:numPr>
              <w:spacing w:before="60"/>
              <w:contextualSpacing/>
              <w:rPr>
                <w:color w:val="000000"/>
              </w:rPr>
            </w:pPr>
            <w:r w:rsidRPr="007325A5">
              <w:rPr>
                <w:color w:val="000000"/>
              </w:rPr>
              <w:t>+Wharton College</w:t>
            </w:r>
          </w:p>
          <w:p w:rsidR="00C276B9" w:rsidRPr="007325A5" w:rsidRDefault="00C276B9" w:rsidP="008909D7">
            <w:pPr>
              <w:rPr>
                <w:color w:val="000000"/>
              </w:rPr>
            </w:pPr>
            <w:r w:rsidRPr="007325A5">
              <w:rPr>
                <w:color w:val="000000"/>
              </w:rPr>
              <w:t>+# Austin Community College</w:t>
            </w:r>
          </w:p>
          <w:p w:rsidR="00C276B9" w:rsidRPr="007325A5" w:rsidRDefault="00C276B9" w:rsidP="008909D7">
            <w:pPr>
              <w:rPr>
                <w:color w:val="000000"/>
              </w:rPr>
            </w:pPr>
            <w:r w:rsidRPr="007325A5">
              <w:rPr>
                <w:color w:val="000000"/>
              </w:rPr>
              <w:t>+ Dallas County Community College</w:t>
            </w:r>
          </w:p>
          <w:p w:rsidR="00C276B9" w:rsidRPr="007325A5" w:rsidRDefault="00C276B9" w:rsidP="008909D7">
            <w:pPr>
              <w:rPr>
                <w:color w:val="000000"/>
              </w:rPr>
            </w:pPr>
            <w:r w:rsidRPr="007325A5">
              <w:rPr>
                <w:color w:val="000000"/>
              </w:rPr>
              <w:t>+ Coastal Bend College</w:t>
            </w:r>
          </w:p>
          <w:p w:rsidR="00C276B9" w:rsidRPr="007325A5" w:rsidRDefault="00C276B9" w:rsidP="008909D7">
            <w:pPr>
              <w:rPr>
                <w:color w:val="000000"/>
              </w:rPr>
            </w:pPr>
            <w:r w:rsidRPr="007325A5">
              <w:rPr>
                <w:color w:val="000000"/>
              </w:rPr>
              <w:t># Texas State Technical College</w:t>
            </w:r>
          </w:p>
          <w:p w:rsidR="00C276B9" w:rsidRPr="007325A5" w:rsidRDefault="00C276B9" w:rsidP="008909D7">
            <w:pPr>
              <w:rPr>
                <w:color w:val="000000"/>
              </w:rPr>
            </w:pPr>
            <w:r w:rsidRPr="007325A5">
              <w:rPr>
                <w:color w:val="000000"/>
              </w:rPr>
              <w:t># South Texas College</w:t>
            </w:r>
          </w:p>
          <w:p w:rsidR="00C276B9" w:rsidRPr="007325A5" w:rsidRDefault="00C276B9" w:rsidP="008909D7">
            <w:pPr>
              <w:rPr>
                <w:color w:val="000000"/>
              </w:rPr>
            </w:pPr>
            <w:r w:rsidRPr="007325A5">
              <w:rPr>
                <w:color w:val="000000"/>
              </w:rPr>
              <w:t># Oklahoma State</w:t>
            </w:r>
          </w:p>
          <w:p w:rsidR="00C276B9" w:rsidRPr="007325A5" w:rsidRDefault="00C276B9" w:rsidP="008909D7">
            <w:pPr>
              <w:rPr>
                <w:color w:val="000000"/>
              </w:rPr>
            </w:pPr>
            <w:r w:rsidRPr="007325A5">
              <w:rPr>
                <w:color w:val="000000"/>
              </w:rPr>
              <w:t># Lone Star College plus Texas Reverse Transfer Initiative. (in progress Theatre)</w:t>
            </w:r>
          </w:p>
          <w:p w:rsidR="00C276B9" w:rsidRPr="007325A5" w:rsidRDefault="00C276B9" w:rsidP="008909D7">
            <w:pPr>
              <w:rPr>
                <w:color w:val="000000"/>
              </w:rPr>
            </w:pPr>
            <w:r w:rsidRPr="007325A5">
              <w:rPr>
                <w:color w:val="000000"/>
              </w:rPr>
              <w:t>+ Seattle Community Colleges (Central, North, South)</w:t>
            </w:r>
          </w:p>
          <w:p w:rsidR="00C276B9" w:rsidRPr="007325A5" w:rsidRDefault="00C276B9" w:rsidP="008909D7">
            <w:pPr>
              <w:rPr>
                <w:color w:val="000000"/>
              </w:rPr>
            </w:pPr>
            <w:r w:rsidRPr="007325A5">
              <w:rPr>
                <w:color w:val="000000"/>
              </w:rPr>
              <w:t>* American Education Centre Limited; Colombo 03 Sri Lanka</w:t>
            </w:r>
          </w:p>
          <w:p w:rsidR="00C276B9" w:rsidRPr="007325A5" w:rsidRDefault="00C276B9" w:rsidP="008909D7">
            <w:pPr>
              <w:rPr>
                <w:color w:val="000000"/>
              </w:rPr>
            </w:pPr>
            <w:r w:rsidRPr="007325A5">
              <w:rPr>
                <w:color w:val="000000"/>
              </w:rPr>
              <w:t>Note: Details regarding program eligibility requirements are provided below.</w:t>
            </w:r>
          </w:p>
        </w:tc>
      </w:tr>
      <w:tr w:rsidR="00C276B9" w:rsidRPr="007325A5" w:rsidTr="008909D7">
        <w:tc>
          <w:tcPr>
            <w:tcW w:w="2880" w:type="dxa"/>
          </w:tcPr>
          <w:p w:rsidR="00C276B9" w:rsidRPr="007325A5" w:rsidRDefault="00C276B9" w:rsidP="008909D7">
            <w:pPr>
              <w:rPr>
                <w:b/>
              </w:rPr>
            </w:pPr>
            <w:r w:rsidRPr="007325A5">
              <w:rPr>
                <w:b/>
              </w:rPr>
              <w:t>International Applicant English Proficiency Requirements**</w:t>
            </w:r>
          </w:p>
        </w:tc>
        <w:tc>
          <w:tcPr>
            <w:tcW w:w="6480" w:type="dxa"/>
          </w:tcPr>
          <w:p w:rsidR="00C276B9" w:rsidRPr="007325A5" w:rsidRDefault="00C276B9" w:rsidP="008909D7">
            <w:pPr>
              <w:spacing w:before="60"/>
              <w:rPr>
                <w:color w:val="000000"/>
              </w:rPr>
            </w:pPr>
            <w:r w:rsidRPr="007325A5">
              <w:rPr>
                <w:color w:val="000000"/>
              </w:rPr>
              <w:t>Waived for international transfer students who have earned an associate’s degree from an accredited institution in the United States</w:t>
            </w:r>
          </w:p>
          <w:p w:rsidR="00C276B9" w:rsidRPr="007325A5" w:rsidRDefault="00C276B9" w:rsidP="008909D7">
            <w:pPr>
              <w:rPr>
                <w:color w:val="000000"/>
                <w:sz w:val="16"/>
                <w:szCs w:val="16"/>
              </w:rPr>
            </w:pPr>
          </w:p>
          <w:p w:rsidR="00C276B9" w:rsidRPr="007325A5" w:rsidRDefault="00C276B9" w:rsidP="008909D7">
            <w:pPr>
              <w:rPr>
                <w:color w:val="000000"/>
              </w:rPr>
            </w:pPr>
            <w:r w:rsidRPr="007325A5">
              <w:rPr>
                <w:color w:val="000000"/>
              </w:rPr>
              <w:t>TOEFL:</w:t>
            </w:r>
          </w:p>
          <w:p w:rsidR="00C276B9" w:rsidRPr="007325A5" w:rsidRDefault="00C276B9" w:rsidP="008909D7">
            <w:pPr>
              <w:spacing w:before="60"/>
              <w:rPr>
                <w:color w:val="000000"/>
              </w:rPr>
            </w:pPr>
            <w:r w:rsidRPr="007325A5">
              <w:rPr>
                <w:color w:val="000000"/>
              </w:rPr>
              <w:t>550 Paper</w:t>
            </w:r>
            <w:r>
              <w:rPr>
                <w:color w:val="000000"/>
              </w:rPr>
              <w:t xml:space="preserve"> based;</w:t>
            </w:r>
          </w:p>
          <w:p w:rsidR="00C276B9" w:rsidRDefault="00C276B9" w:rsidP="008909D7">
            <w:pPr>
              <w:spacing w:before="60"/>
              <w:rPr>
                <w:color w:val="000000"/>
              </w:rPr>
            </w:pPr>
            <w:r w:rsidRPr="007325A5">
              <w:rPr>
                <w:color w:val="000000"/>
              </w:rPr>
              <w:t>79-80 Internet based</w:t>
            </w:r>
            <w:r>
              <w:rPr>
                <w:color w:val="000000"/>
              </w:rPr>
              <w:t>;</w:t>
            </w:r>
          </w:p>
          <w:p w:rsidR="00C276B9" w:rsidRPr="007325A5" w:rsidRDefault="00C276B9" w:rsidP="008909D7">
            <w:pPr>
              <w:spacing w:before="60"/>
              <w:rPr>
                <w:color w:val="000000"/>
                <w:sz w:val="16"/>
                <w:szCs w:val="16"/>
              </w:rPr>
            </w:pPr>
          </w:p>
          <w:p w:rsidR="00C276B9" w:rsidRPr="007325A5" w:rsidRDefault="00C276B9" w:rsidP="008909D7">
            <w:r w:rsidRPr="007325A5">
              <w:rPr>
                <w:color w:val="000000"/>
              </w:rPr>
              <w:t>IELTS: 6.5</w:t>
            </w:r>
          </w:p>
        </w:tc>
      </w:tr>
      <w:tr w:rsidR="00C276B9" w:rsidRPr="007325A5" w:rsidTr="008909D7">
        <w:tc>
          <w:tcPr>
            <w:tcW w:w="2880" w:type="dxa"/>
          </w:tcPr>
          <w:p w:rsidR="00C276B9" w:rsidRPr="007325A5" w:rsidRDefault="00C276B9" w:rsidP="008909D7">
            <w:pPr>
              <w:rPr>
                <w:b/>
              </w:rPr>
            </w:pPr>
            <w:r w:rsidRPr="007325A5">
              <w:rPr>
                <w:b/>
              </w:rPr>
              <w:t>Other Requirements</w:t>
            </w:r>
          </w:p>
        </w:tc>
        <w:tc>
          <w:tcPr>
            <w:tcW w:w="6480" w:type="dxa"/>
          </w:tcPr>
          <w:p w:rsidR="00C276B9" w:rsidRPr="007325A5" w:rsidRDefault="00C276B9" w:rsidP="008909D7">
            <w:pPr>
              <w:spacing w:before="60"/>
              <w:rPr>
                <w:color w:val="000000"/>
              </w:rPr>
            </w:pPr>
            <w:r w:rsidRPr="007325A5">
              <w:rPr>
                <w:color w:val="000000"/>
              </w:rPr>
              <w:t>Eligible to return to previous institution.</w:t>
            </w:r>
          </w:p>
          <w:p w:rsidR="00C276B9" w:rsidRPr="007325A5" w:rsidRDefault="00C276B9" w:rsidP="008909D7">
            <w:pPr>
              <w:rPr>
                <w:color w:val="000000"/>
                <w:sz w:val="16"/>
                <w:szCs w:val="16"/>
              </w:rPr>
            </w:pPr>
          </w:p>
          <w:p w:rsidR="00C276B9" w:rsidRDefault="00C276B9" w:rsidP="008909D7">
            <w:pPr>
              <w:rPr>
                <w:color w:val="000000"/>
              </w:rPr>
            </w:pPr>
            <w:r w:rsidRPr="007325A5">
              <w:rPr>
                <w:color w:val="000000"/>
              </w:rPr>
              <w:t>Catalog has complete list of additional requirements</w:t>
            </w:r>
          </w:p>
          <w:p w:rsidR="00C276B9" w:rsidRPr="007325A5" w:rsidRDefault="00C276B9" w:rsidP="008909D7">
            <w:r>
              <w:lastRenderedPageBreak/>
              <w:t>Students who are not offered unconditional transfer admission may be considered for an appeal through the Undergraduate Admission Committee. Under this process, students may make appropriate cases for consideration.</w:t>
            </w:r>
          </w:p>
        </w:tc>
      </w:tr>
    </w:tbl>
    <w:p w:rsidR="00C276B9" w:rsidRPr="00D6787D" w:rsidRDefault="00C276B9" w:rsidP="00C276B9">
      <w:pPr>
        <w:rPr>
          <w:sz w:val="20"/>
          <w:szCs w:val="20"/>
        </w:rPr>
      </w:pPr>
      <w:r w:rsidRPr="00D6787D">
        <w:rPr>
          <w:sz w:val="20"/>
          <w:szCs w:val="20"/>
        </w:rPr>
        <w:lastRenderedPageBreak/>
        <w:t xml:space="preserve">TAMU-CC holds several articulation agreements with numerous institutions.  General university articulation agreements may overlap with agreements that are specific to an individual academic program.  </w:t>
      </w:r>
    </w:p>
    <w:p w:rsidR="00C276B9" w:rsidRPr="00D6787D" w:rsidRDefault="00C276B9" w:rsidP="00C276B9">
      <w:pPr>
        <w:numPr>
          <w:ilvl w:val="0"/>
          <w:numId w:val="5"/>
        </w:numPr>
        <w:spacing w:line="276" w:lineRule="auto"/>
        <w:rPr>
          <w:sz w:val="20"/>
          <w:szCs w:val="20"/>
        </w:rPr>
      </w:pPr>
      <w:r w:rsidRPr="00D6787D">
        <w:rPr>
          <w:sz w:val="20"/>
          <w:szCs w:val="20"/>
        </w:rPr>
        <w:t xml:space="preserve"> Institutions with articulation agreements with the College of Nursing and Health Sciences.  The College of Nursing and Health Sciences adheres to the Texas Nursing Articulation Model published by the Texas Nurses Association.  </w:t>
      </w:r>
    </w:p>
    <w:p w:rsidR="00C276B9" w:rsidRPr="00D6787D" w:rsidRDefault="00C276B9" w:rsidP="00C276B9">
      <w:pPr>
        <w:rPr>
          <w:sz w:val="20"/>
          <w:szCs w:val="20"/>
        </w:rPr>
      </w:pPr>
      <w:proofErr w:type="gramStart"/>
      <w:r w:rsidRPr="00D6787D">
        <w:rPr>
          <w:sz w:val="20"/>
          <w:szCs w:val="20"/>
        </w:rPr>
        <w:t>+  General</w:t>
      </w:r>
      <w:proofErr w:type="gramEnd"/>
      <w:r w:rsidRPr="00D6787D">
        <w:rPr>
          <w:sz w:val="20"/>
          <w:szCs w:val="20"/>
        </w:rPr>
        <w:t xml:space="preserve"> articulation agreements with Texas A&amp;M University-Corpus Christi</w:t>
      </w:r>
    </w:p>
    <w:p w:rsidR="00C276B9" w:rsidRPr="00D6787D" w:rsidRDefault="00C276B9" w:rsidP="00C276B9">
      <w:pPr>
        <w:ind w:left="180" w:hanging="180"/>
        <w:rPr>
          <w:sz w:val="20"/>
          <w:szCs w:val="20"/>
        </w:rPr>
      </w:pPr>
      <w:proofErr w:type="gramStart"/>
      <w:r w:rsidRPr="00D6787D">
        <w:rPr>
          <w:sz w:val="20"/>
          <w:szCs w:val="20"/>
        </w:rPr>
        <w:t>*  Articulation</w:t>
      </w:r>
      <w:proofErr w:type="gramEnd"/>
      <w:r w:rsidRPr="00D6787D">
        <w:rPr>
          <w:sz w:val="20"/>
          <w:szCs w:val="20"/>
        </w:rPr>
        <w:t xml:space="preserve"> agreements specific to the academic program of Mechanical Engineering.  The Mechanical Engineering program at TAMU-CC requires Del Mar Community College (DMC) students to have a minimum grade point average of 2.5 for all coursework taken and a minimum GPA of 2.5 in all science, math, and engineering classes undertaken at DMC for admission into the BSME degree curriculum.   </w:t>
      </w:r>
    </w:p>
    <w:p w:rsidR="00C276B9" w:rsidRPr="00D6787D" w:rsidRDefault="00C276B9" w:rsidP="00C276B9">
      <w:pPr>
        <w:rPr>
          <w:color w:val="000000"/>
          <w:sz w:val="20"/>
          <w:szCs w:val="20"/>
        </w:rPr>
      </w:pPr>
      <w:proofErr w:type="gramStart"/>
      <w:r w:rsidRPr="00D6787D">
        <w:rPr>
          <w:color w:val="000000"/>
          <w:sz w:val="20"/>
          <w:szCs w:val="20"/>
        </w:rPr>
        <w:t>^  Articulation</w:t>
      </w:r>
      <w:proofErr w:type="gramEnd"/>
      <w:r w:rsidRPr="00D6787D">
        <w:rPr>
          <w:color w:val="000000"/>
          <w:sz w:val="20"/>
          <w:szCs w:val="20"/>
        </w:rPr>
        <w:t xml:space="preserve"> agreements specific to the academic program of Computer Science  </w:t>
      </w:r>
    </w:p>
    <w:p w:rsidR="00C276B9" w:rsidRDefault="00C276B9" w:rsidP="00C276B9">
      <w:pPr>
        <w:spacing w:line="276" w:lineRule="auto"/>
        <w:rPr>
          <w:rFonts w:eastAsiaTheme="minorEastAsia"/>
          <w:sz w:val="20"/>
          <w:szCs w:val="20"/>
        </w:rPr>
      </w:pPr>
      <w:r w:rsidRPr="00D6787D">
        <w:rPr>
          <w:rFonts w:eastAsiaTheme="minorEastAsia"/>
          <w:sz w:val="20"/>
          <w:szCs w:val="20"/>
        </w:rPr>
        <w:t># Articulation agreements specific to the academic program of Geographic Information Science</w:t>
      </w:r>
    </w:p>
    <w:p w:rsidR="00C276B9" w:rsidRPr="00D6787D" w:rsidRDefault="00C276B9" w:rsidP="00C276B9">
      <w:pPr>
        <w:spacing w:line="276" w:lineRule="auto"/>
        <w:rPr>
          <w:rFonts w:eastAsiaTheme="minorEastAsia"/>
          <w:sz w:val="20"/>
          <w:szCs w:val="20"/>
        </w:rPr>
      </w:pPr>
    </w:p>
    <w:p w:rsidR="00C276B9" w:rsidRDefault="00C276B9"/>
    <w:sectPr w:rsidR="00C2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7043"/>
    <w:multiLevelType w:val="hybridMultilevel"/>
    <w:tmpl w:val="28B296B6"/>
    <w:lvl w:ilvl="0" w:tplc="C0C26572">
      <w:start w:val="1"/>
      <w:numFmt w:val="bullet"/>
      <w:lvlText w:val=""/>
      <w:lvlJc w:val="left"/>
      <w:pPr>
        <w:ind w:left="144" w:hanging="144"/>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E3E99"/>
    <w:multiLevelType w:val="hybridMultilevel"/>
    <w:tmpl w:val="6BB21198"/>
    <w:lvl w:ilvl="0" w:tplc="20E8EC4E">
      <w:start w:val="1"/>
      <w:numFmt w:val="bullet"/>
      <w:lvlText w:val=""/>
      <w:lvlJc w:val="left"/>
      <w:pPr>
        <w:ind w:left="144" w:hanging="144"/>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9A7BF0"/>
    <w:multiLevelType w:val="hybridMultilevel"/>
    <w:tmpl w:val="E06AEF1C"/>
    <w:lvl w:ilvl="0" w:tplc="3EA24008">
      <w:start w:val="1"/>
      <w:numFmt w:val="bullet"/>
      <w:lvlText w:val=""/>
      <w:lvlJc w:val="left"/>
      <w:pPr>
        <w:ind w:left="144" w:hanging="144"/>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07988"/>
    <w:multiLevelType w:val="hybridMultilevel"/>
    <w:tmpl w:val="48C87D98"/>
    <w:lvl w:ilvl="0" w:tplc="C4884DFE">
      <w:start w:val="1"/>
      <w:numFmt w:val="bullet"/>
      <w:lvlText w:val=""/>
      <w:lvlJc w:val="left"/>
      <w:pPr>
        <w:ind w:left="144" w:hanging="144"/>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1342B"/>
    <w:multiLevelType w:val="hybridMultilevel"/>
    <w:tmpl w:val="1234970C"/>
    <w:lvl w:ilvl="0" w:tplc="96943910">
      <w:start w:val="1"/>
      <w:numFmt w:val="bullet"/>
      <w:lvlText w:val=""/>
      <w:lvlJc w:val="left"/>
      <w:pPr>
        <w:ind w:left="144" w:hanging="144"/>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B9"/>
    <w:rsid w:val="00801C42"/>
    <w:rsid w:val="009958D0"/>
    <w:rsid w:val="00B00836"/>
    <w:rsid w:val="00BA7E24"/>
    <w:rsid w:val="00C2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F7B5"/>
  <w15:chartTrackingRefBased/>
  <w15:docId w15:val="{F91DEBE3-B563-4BE3-AAF4-E40A08A5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6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Poenisch, Kenneth R.</dc:creator>
  <cp:keywords/>
  <dc:description/>
  <cp:lastModifiedBy>Poenisch, Kenneth R.</cp:lastModifiedBy>
  <cp:revision>2</cp:revision>
  <dcterms:created xsi:type="dcterms:W3CDTF">2022-01-31T22:28:00Z</dcterms:created>
  <dcterms:modified xsi:type="dcterms:W3CDTF">2022-01-31T22:28:00Z</dcterms:modified>
</cp:coreProperties>
</file>