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008" w:rsidRPr="00B7504C" w:rsidRDefault="005C5008" w:rsidP="005C5008">
      <w:pPr>
        <w:keepNext/>
        <w:tabs>
          <w:tab w:val="left" w:pos="14130"/>
        </w:tabs>
        <w:ind w:right="270"/>
        <w:jc w:val="center"/>
        <w:outlineLvl w:val="1"/>
        <w:rPr>
          <w:b/>
          <w:color w:val="000000"/>
        </w:rPr>
      </w:pPr>
      <w:r w:rsidRPr="00B7504C">
        <w:rPr>
          <w:b/>
          <w:color w:val="000000"/>
        </w:rPr>
        <w:t xml:space="preserve">The Texas A&amp;M University System Campuses </w:t>
      </w:r>
    </w:p>
    <w:p w:rsidR="005C5008" w:rsidRPr="00B7504C" w:rsidRDefault="005C5008" w:rsidP="005C5008">
      <w:pPr>
        <w:keepNext/>
        <w:tabs>
          <w:tab w:val="left" w:pos="14130"/>
        </w:tabs>
        <w:ind w:right="270"/>
        <w:jc w:val="center"/>
        <w:outlineLvl w:val="1"/>
        <w:rPr>
          <w:b/>
        </w:rPr>
      </w:pPr>
      <w:r w:rsidRPr="00B7504C">
        <w:rPr>
          <w:b/>
          <w:color w:val="000000"/>
        </w:rPr>
        <w:t>Transfer</w:t>
      </w:r>
      <w:r w:rsidRPr="00B7504C">
        <w:rPr>
          <w:b/>
        </w:rPr>
        <w:t xml:space="preserve"> Admissions Standards </w:t>
      </w:r>
    </w:p>
    <w:p w:rsidR="005C5008" w:rsidRPr="00B7504C" w:rsidRDefault="005C5008" w:rsidP="005C5008">
      <w:pPr>
        <w:keepNext/>
        <w:tabs>
          <w:tab w:val="left" w:pos="14130"/>
        </w:tabs>
        <w:ind w:right="270"/>
        <w:jc w:val="center"/>
        <w:outlineLvl w:val="1"/>
        <w:rPr>
          <w:b/>
        </w:rPr>
      </w:pPr>
      <w:r w:rsidRPr="00B7504C">
        <w:rPr>
          <w:b/>
        </w:rPr>
        <w:t>Year 202</w:t>
      </w:r>
      <w:r>
        <w:rPr>
          <w:b/>
        </w:rPr>
        <w:t>2</w:t>
      </w:r>
      <w:r w:rsidRPr="00B7504C">
        <w:rPr>
          <w:b/>
        </w:rPr>
        <w:t>-2</w:t>
      </w:r>
      <w:r>
        <w:rPr>
          <w:b/>
        </w:rPr>
        <w:t>3</w:t>
      </w:r>
    </w:p>
    <w:p w:rsidR="005C5008" w:rsidRDefault="005C5008" w:rsidP="005C5008">
      <w:pPr>
        <w:rPr>
          <w:b/>
        </w:rPr>
      </w:pPr>
    </w:p>
    <w:p w:rsidR="005C5008" w:rsidRDefault="005C5008" w:rsidP="005C5008">
      <w:pPr>
        <w:spacing w:after="120"/>
        <w:rPr>
          <w:b/>
        </w:rPr>
      </w:pPr>
      <w:bookmarkStart w:id="0" w:name="_GoBack"/>
      <w:bookmarkEnd w:id="0"/>
      <w:r>
        <w:rPr>
          <w:b/>
        </w:rPr>
        <w:t>Texas A&amp;M University-Central Texas</w:t>
      </w:r>
    </w:p>
    <w:tbl>
      <w:tblPr>
        <w:tblStyle w:val="TableGrid"/>
        <w:tblW w:w="9360" w:type="dxa"/>
        <w:tblLook w:val="04A0" w:firstRow="1" w:lastRow="0" w:firstColumn="1" w:lastColumn="0" w:noHBand="0" w:noVBand="1"/>
      </w:tblPr>
      <w:tblGrid>
        <w:gridCol w:w="2880"/>
        <w:gridCol w:w="6480"/>
      </w:tblGrid>
      <w:tr w:rsidR="005C5008" w:rsidRPr="00293DB1" w:rsidTr="008909D7">
        <w:tc>
          <w:tcPr>
            <w:tcW w:w="2880" w:type="dxa"/>
          </w:tcPr>
          <w:p w:rsidR="005C5008" w:rsidRPr="00293DB1" w:rsidRDefault="005C5008" w:rsidP="008909D7">
            <w:pPr>
              <w:rPr>
                <w:b/>
              </w:rPr>
            </w:pPr>
            <w:r w:rsidRPr="00293DB1">
              <w:rPr>
                <w:b/>
              </w:rPr>
              <w:t>Application Fee</w:t>
            </w:r>
          </w:p>
        </w:tc>
        <w:tc>
          <w:tcPr>
            <w:tcW w:w="6480" w:type="dxa"/>
          </w:tcPr>
          <w:p w:rsidR="005C5008" w:rsidRDefault="005C5008" w:rsidP="008909D7">
            <w:pPr>
              <w:tabs>
                <w:tab w:val="center" w:pos="3132"/>
              </w:tabs>
              <w:rPr>
                <w:color w:val="000000"/>
              </w:rPr>
            </w:pPr>
            <w:r>
              <w:rPr>
                <w:color w:val="000000"/>
              </w:rPr>
              <w:t>$30</w:t>
            </w:r>
            <w:r w:rsidRPr="00293DB1">
              <w:rPr>
                <w:color w:val="000000"/>
              </w:rPr>
              <w:t xml:space="preserve"> non-refundable fee </w:t>
            </w:r>
            <w:r>
              <w:rPr>
                <w:color w:val="000000"/>
              </w:rPr>
              <w:tab/>
            </w:r>
          </w:p>
          <w:p w:rsidR="005C5008" w:rsidRPr="00293DB1" w:rsidRDefault="005C5008" w:rsidP="008909D7">
            <w:pPr>
              <w:rPr>
                <w:color w:val="000000"/>
              </w:rPr>
            </w:pPr>
          </w:p>
          <w:p w:rsidR="005C5008" w:rsidRDefault="005C5008" w:rsidP="008909D7">
            <w:pPr>
              <w:rPr>
                <w:color w:val="000000"/>
              </w:rPr>
            </w:pPr>
            <w:r>
              <w:rPr>
                <w:color w:val="000000"/>
              </w:rPr>
              <w:t>$100</w:t>
            </w:r>
            <w:r w:rsidRPr="00293DB1">
              <w:rPr>
                <w:color w:val="000000"/>
              </w:rPr>
              <w:t xml:space="preserve"> non-refundable fee for international students</w:t>
            </w:r>
          </w:p>
          <w:p w:rsidR="005C5008" w:rsidRPr="00293DB1" w:rsidRDefault="005C5008" w:rsidP="008909D7"/>
        </w:tc>
      </w:tr>
      <w:tr w:rsidR="005C5008" w:rsidRPr="00293DB1" w:rsidTr="008909D7">
        <w:tc>
          <w:tcPr>
            <w:tcW w:w="2880" w:type="dxa"/>
          </w:tcPr>
          <w:p w:rsidR="005C5008" w:rsidRPr="00293DB1" w:rsidRDefault="005C5008" w:rsidP="008909D7">
            <w:pPr>
              <w:rPr>
                <w:b/>
              </w:rPr>
            </w:pPr>
            <w:r w:rsidRPr="00293DB1">
              <w:rPr>
                <w:b/>
              </w:rPr>
              <w:t>Admissions Standards</w:t>
            </w:r>
          </w:p>
        </w:tc>
        <w:tc>
          <w:tcPr>
            <w:tcW w:w="6480" w:type="dxa"/>
          </w:tcPr>
          <w:p w:rsidR="005C5008" w:rsidRPr="00293DB1" w:rsidRDefault="005C5008" w:rsidP="005C5008">
            <w:pPr>
              <w:numPr>
                <w:ilvl w:val="0"/>
                <w:numId w:val="2"/>
              </w:numPr>
              <w:shd w:val="clear" w:color="auto" w:fill="FFFFFF"/>
              <w:tabs>
                <w:tab w:val="num" w:pos="632"/>
              </w:tabs>
              <w:spacing w:before="100" w:beforeAutospacing="1" w:after="100" w:afterAutospacing="1"/>
              <w:ind w:left="542"/>
              <w:rPr>
                <w:color w:val="333333"/>
              </w:rPr>
            </w:pPr>
            <w:r w:rsidRPr="00293DB1">
              <w:rPr>
                <w:color w:val="000000"/>
              </w:rPr>
              <w:t xml:space="preserve">Minimum 2.0 </w:t>
            </w:r>
            <w:r w:rsidRPr="00293DB1">
              <w:rPr>
                <w:color w:val="333333"/>
              </w:rPr>
              <w:t>cumulative transfer GPA on a 4.0 scale</w:t>
            </w:r>
          </w:p>
          <w:p w:rsidR="005C5008" w:rsidRPr="00293DB1" w:rsidRDefault="005C5008" w:rsidP="005C5008">
            <w:pPr>
              <w:numPr>
                <w:ilvl w:val="0"/>
                <w:numId w:val="2"/>
              </w:numPr>
              <w:shd w:val="clear" w:color="auto" w:fill="FFFFFF"/>
              <w:tabs>
                <w:tab w:val="num" w:pos="542"/>
              </w:tabs>
              <w:spacing w:before="100" w:beforeAutospacing="1" w:after="100" w:afterAutospacing="1"/>
              <w:ind w:left="542"/>
            </w:pPr>
            <w:r w:rsidRPr="00293DB1">
              <w:rPr>
                <w:color w:val="333333"/>
              </w:rPr>
              <w:t>Minimum 30 academic, college-level transferable semester hours</w:t>
            </w:r>
            <w:r>
              <w:rPr>
                <w:color w:val="333333"/>
              </w:rPr>
              <w:t xml:space="preserve">. </w:t>
            </w:r>
            <w:r w:rsidRPr="00FE05B9">
              <w:rPr>
                <w:color w:val="201F1E"/>
                <w:shd w:val="clear" w:color="auto" w:fill="FFFFFF"/>
              </w:rPr>
              <w:t>Applicants pursuing an Applied Science or Aviation Science degree may meet this requirement utilizing select workforce education credit from an approved Associate of Applied Science (AAS) degree upon completion of 45 hours, to include all general education courses within the AAS</w:t>
            </w:r>
            <w:r>
              <w:rPr>
                <w:color w:val="201F1E"/>
                <w:shd w:val="clear" w:color="auto" w:fill="FFFFFF"/>
              </w:rPr>
              <w:t>.</w:t>
            </w:r>
          </w:p>
        </w:tc>
      </w:tr>
      <w:tr w:rsidR="005C5008" w:rsidRPr="00293DB1" w:rsidTr="008909D7">
        <w:tc>
          <w:tcPr>
            <w:tcW w:w="2880" w:type="dxa"/>
          </w:tcPr>
          <w:p w:rsidR="005C5008" w:rsidRPr="00293DB1" w:rsidRDefault="005C5008" w:rsidP="008909D7">
            <w:pPr>
              <w:rPr>
                <w:b/>
              </w:rPr>
            </w:pPr>
            <w:r w:rsidRPr="00293DB1">
              <w:rPr>
                <w:b/>
              </w:rPr>
              <w:t>Use of High School Record</w:t>
            </w:r>
          </w:p>
        </w:tc>
        <w:tc>
          <w:tcPr>
            <w:tcW w:w="6480" w:type="dxa"/>
          </w:tcPr>
          <w:p w:rsidR="005C5008" w:rsidRPr="00293DB1" w:rsidRDefault="005C5008" w:rsidP="008909D7">
            <w:r w:rsidRPr="00293DB1">
              <w:t>No</w:t>
            </w:r>
          </w:p>
        </w:tc>
      </w:tr>
      <w:tr w:rsidR="005C5008" w:rsidRPr="00293DB1" w:rsidTr="008909D7">
        <w:tc>
          <w:tcPr>
            <w:tcW w:w="2880" w:type="dxa"/>
          </w:tcPr>
          <w:p w:rsidR="005C5008" w:rsidRPr="00293DB1" w:rsidRDefault="005C5008" w:rsidP="008909D7">
            <w:pPr>
              <w:rPr>
                <w:b/>
              </w:rPr>
            </w:pPr>
            <w:r w:rsidRPr="00293DB1">
              <w:rPr>
                <w:b/>
              </w:rPr>
              <w:t>Number of Articulation Agreements and Requirements for Admission</w:t>
            </w:r>
          </w:p>
        </w:tc>
        <w:tc>
          <w:tcPr>
            <w:tcW w:w="6480" w:type="dxa"/>
          </w:tcPr>
          <w:p w:rsidR="005C5008" w:rsidRDefault="005C5008" w:rsidP="008909D7">
            <w:pPr>
              <w:numPr>
                <w:ilvl w:val="0"/>
                <w:numId w:val="1"/>
              </w:numPr>
              <w:ind w:left="520"/>
              <w:contextualSpacing/>
            </w:pPr>
            <w:r>
              <w:t>Alamo Colleges District</w:t>
            </w:r>
            <w:r w:rsidRPr="00293DB1">
              <w:t xml:space="preserve"> </w:t>
            </w:r>
          </w:p>
          <w:p w:rsidR="005C5008" w:rsidRPr="00293DB1" w:rsidRDefault="005C5008" w:rsidP="008909D7">
            <w:pPr>
              <w:numPr>
                <w:ilvl w:val="0"/>
                <w:numId w:val="1"/>
              </w:numPr>
              <w:ind w:left="520"/>
              <w:contextualSpacing/>
            </w:pPr>
            <w:r w:rsidRPr="00293DB1">
              <w:t>Austin Community College</w:t>
            </w:r>
          </w:p>
          <w:p w:rsidR="005C5008" w:rsidRDefault="005C5008" w:rsidP="008909D7">
            <w:pPr>
              <w:numPr>
                <w:ilvl w:val="0"/>
                <w:numId w:val="1"/>
              </w:numPr>
              <w:ind w:left="520"/>
              <w:contextualSpacing/>
            </w:pPr>
            <w:r w:rsidRPr="00293DB1">
              <w:t>Central Texas College</w:t>
            </w:r>
          </w:p>
          <w:p w:rsidR="005C5008" w:rsidRPr="00293DB1" w:rsidRDefault="005C5008" w:rsidP="008909D7">
            <w:pPr>
              <w:numPr>
                <w:ilvl w:val="0"/>
                <w:numId w:val="1"/>
              </w:numPr>
              <w:ind w:left="520"/>
              <w:contextualSpacing/>
            </w:pPr>
            <w:r>
              <w:t>Alamo Colleges District</w:t>
            </w:r>
          </w:p>
          <w:p w:rsidR="005C5008" w:rsidRPr="00293DB1" w:rsidRDefault="005C5008" w:rsidP="008909D7">
            <w:pPr>
              <w:numPr>
                <w:ilvl w:val="0"/>
                <w:numId w:val="1"/>
              </w:numPr>
              <w:ind w:left="520"/>
              <w:contextualSpacing/>
            </w:pPr>
            <w:r w:rsidRPr="00293DB1">
              <w:t>Temple College</w:t>
            </w:r>
          </w:p>
          <w:p w:rsidR="005C5008" w:rsidRPr="00293DB1" w:rsidRDefault="005C5008" w:rsidP="008909D7">
            <w:pPr>
              <w:numPr>
                <w:ilvl w:val="0"/>
                <w:numId w:val="1"/>
              </w:numPr>
              <w:ind w:left="520"/>
              <w:contextualSpacing/>
            </w:pPr>
            <w:r w:rsidRPr="00293DB1">
              <w:t>Texas State Technical College</w:t>
            </w:r>
          </w:p>
          <w:p w:rsidR="005C5008" w:rsidRPr="00293DB1" w:rsidRDefault="005C5008" w:rsidP="008909D7"/>
          <w:p w:rsidR="005C5008" w:rsidRPr="00293DB1" w:rsidRDefault="005C5008" w:rsidP="008909D7">
            <w:r w:rsidRPr="00293DB1">
              <w:t>Admissions standards for these participants are the same for all transfer students.</w:t>
            </w:r>
          </w:p>
        </w:tc>
      </w:tr>
      <w:tr w:rsidR="005C5008" w:rsidRPr="00293DB1" w:rsidTr="008909D7">
        <w:tc>
          <w:tcPr>
            <w:tcW w:w="2880" w:type="dxa"/>
          </w:tcPr>
          <w:p w:rsidR="005C5008" w:rsidRPr="00293DB1" w:rsidRDefault="005C5008" w:rsidP="008909D7">
            <w:pPr>
              <w:rPr>
                <w:b/>
              </w:rPr>
            </w:pPr>
            <w:r w:rsidRPr="00293DB1">
              <w:rPr>
                <w:b/>
              </w:rPr>
              <w:t>International Applicant English Proficiency Requirements**</w:t>
            </w:r>
          </w:p>
        </w:tc>
        <w:tc>
          <w:tcPr>
            <w:tcW w:w="6480" w:type="dxa"/>
          </w:tcPr>
          <w:p w:rsidR="005C5008" w:rsidRDefault="005C5008" w:rsidP="008909D7">
            <w:r w:rsidRPr="00293DB1">
              <w:t xml:space="preserve">TOEFL: </w:t>
            </w:r>
          </w:p>
          <w:p w:rsidR="005C5008" w:rsidRDefault="005C5008" w:rsidP="008909D7">
            <w:r w:rsidRPr="00293DB1">
              <w:t>520 Paper</w:t>
            </w:r>
            <w:r>
              <w:t>-based</w:t>
            </w:r>
            <w:r w:rsidRPr="00293DB1">
              <w:t xml:space="preserve">; </w:t>
            </w:r>
          </w:p>
          <w:p w:rsidR="005C5008" w:rsidRDefault="005C5008" w:rsidP="008909D7">
            <w:r w:rsidRPr="00293DB1">
              <w:t>69 Internet-based</w:t>
            </w:r>
            <w:r>
              <w:t xml:space="preserve">; </w:t>
            </w:r>
          </w:p>
          <w:p w:rsidR="005C5008" w:rsidRPr="00293DB1" w:rsidRDefault="005C5008" w:rsidP="008909D7">
            <w:r w:rsidRPr="00293DB1">
              <w:t>or</w:t>
            </w:r>
          </w:p>
          <w:p w:rsidR="005C5008" w:rsidRPr="00293DB1" w:rsidRDefault="005C5008" w:rsidP="008909D7">
            <w:r w:rsidRPr="00293DB1">
              <w:t>IELTS: 6</w:t>
            </w:r>
          </w:p>
          <w:p w:rsidR="005C5008" w:rsidRPr="00293DB1" w:rsidRDefault="005C5008" w:rsidP="008909D7">
            <w:r w:rsidRPr="00293DB1">
              <w:t>or</w:t>
            </w:r>
          </w:p>
          <w:p w:rsidR="005C5008" w:rsidRPr="00293DB1" w:rsidRDefault="005C5008" w:rsidP="008909D7">
            <w:r w:rsidRPr="00293DB1">
              <w:t>Completion of English 1301 and English 1302 with a C or better.</w:t>
            </w:r>
          </w:p>
        </w:tc>
      </w:tr>
      <w:tr w:rsidR="005C5008" w:rsidRPr="00293DB1" w:rsidTr="008909D7">
        <w:tc>
          <w:tcPr>
            <w:tcW w:w="2880" w:type="dxa"/>
          </w:tcPr>
          <w:p w:rsidR="005C5008" w:rsidRPr="00293DB1" w:rsidRDefault="005C5008" w:rsidP="008909D7">
            <w:pPr>
              <w:rPr>
                <w:b/>
              </w:rPr>
            </w:pPr>
            <w:r w:rsidRPr="00293DB1">
              <w:rPr>
                <w:b/>
              </w:rPr>
              <w:t>Other Requirements</w:t>
            </w:r>
          </w:p>
        </w:tc>
        <w:tc>
          <w:tcPr>
            <w:tcW w:w="6480" w:type="dxa"/>
          </w:tcPr>
          <w:p w:rsidR="005C5008" w:rsidRPr="002C2CB8" w:rsidRDefault="005C5008" w:rsidP="008909D7">
            <w:r w:rsidRPr="002C2CB8">
              <w:t xml:space="preserve">Must be eligible to return to all previously attended institutions </w:t>
            </w:r>
          </w:p>
          <w:p w:rsidR="005C5008" w:rsidRPr="00293DB1" w:rsidRDefault="005C5008" w:rsidP="008909D7"/>
        </w:tc>
      </w:tr>
    </w:tbl>
    <w:p w:rsidR="00801C42" w:rsidRDefault="00801C42"/>
    <w:sectPr w:rsidR="00801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B46D0"/>
    <w:multiLevelType w:val="hybridMultilevel"/>
    <w:tmpl w:val="9CAAC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536128"/>
    <w:multiLevelType w:val="multilevel"/>
    <w:tmpl w:val="FBCC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008"/>
    <w:rsid w:val="005C5008"/>
    <w:rsid w:val="00801C42"/>
    <w:rsid w:val="00891D13"/>
    <w:rsid w:val="00B00836"/>
    <w:rsid w:val="00BA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A77B3-623A-444C-8EBE-784EFA3A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0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500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TAMUS</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Poenisch, Kenneth R.</dc:creator>
  <cp:keywords/>
  <dc:description/>
  <cp:lastModifiedBy>Poenisch, Kenneth R.</cp:lastModifiedBy>
  <cp:revision>2</cp:revision>
  <dcterms:created xsi:type="dcterms:W3CDTF">2022-01-31T22:16:00Z</dcterms:created>
  <dcterms:modified xsi:type="dcterms:W3CDTF">2022-01-31T22:16:00Z</dcterms:modified>
</cp:coreProperties>
</file>