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D3B987" w14:textId="77777777" w:rsidR="002542D4" w:rsidRPr="00A46704" w:rsidRDefault="002542D4" w:rsidP="002542D4">
      <w:pPr>
        <w:pStyle w:val="Header"/>
        <w:jc w:val="center"/>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2120613E" wp14:editId="723F4962">
                <wp:simplePos x="0" y="0"/>
                <wp:positionH relativeFrom="column">
                  <wp:posOffset>3747135</wp:posOffset>
                </wp:positionH>
                <wp:positionV relativeFrom="paragraph">
                  <wp:posOffset>-414770</wp:posOffset>
                </wp:positionV>
                <wp:extent cx="1967056" cy="256309"/>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7056" cy="256309"/>
                        </a:xfrm>
                        <a:prstGeom prst="rect">
                          <a:avLst/>
                        </a:prstGeom>
                        <a:solidFill>
                          <a:schemeClr val="lt1"/>
                        </a:solidFill>
                        <a:ln w="6350">
                          <a:noFill/>
                        </a:ln>
                      </wps:spPr>
                      <wps:txbx>
                        <w:txbxContent>
                          <w:p w14:paraId="45210DEE" w14:textId="77777777" w:rsidR="002542D4" w:rsidRPr="00196E11" w:rsidRDefault="002542D4" w:rsidP="002542D4">
                            <w:pPr>
                              <w:rPr>
                                <w:sz w:val="24"/>
                                <w:szCs w:val="24"/>
                              </w:rPr>
                            </w:pPr>
                            <w:r w:rsidRPr="00196E11">
                              <w:rPr>
                                <w:sz w:val="24"/>
                                <w:szCs w:val="24"/>
                              </w:rPr>
                              <w:t>ATTACHMENT TO ITEM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20613E" id="_x0000_t202" coordsize="21600,21600" o:spt="202" path="m,l,21600r21600,l21600,xe">
                <v:stroke joinstyle="miter"/>
                <v:path gradientshapeok="t" o:connecttype="rect"/>
              </v:shapetype>
              <v:shape id="Text Box 2" o:spid="_x0000_s1026" type="#_x0000_t202" style="position:absolute;left:0;text-align:left;margin-left:295.05pt;margin-top:-32.65pt;width:154.9pt;height:20.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" fillcolor="white [3201]" stroked="f" strokeweight=".5pt">
                <v:textbox>
                  <w:txbxContent>
                    <w:p w14:paraId="45210DEE" w14:textId="77777777" w:rsidR="002542D4" w:rsidRPr="00196E11" w:rsidRDefault="002542D4" w:rsidP="002542D4">
                      <w:pPr>
                        <w:rPr>
                          <w:sz w:val="24"/>
                          <w:szCs w:val="24"/>
                        </w:rPr>
                      </w:pPr>
                      <w:r w:rsidRPr="00196E11">
                        <w:rPr>
                          <w:sz w:val="24"/>
                          <w:szCs w:val="24"/>
                        </w:rPr>
                        <w:t>ATTACHMENT TO ITEM</w:t>
                      </w:r>
                    </w:p>
                  </w:txbxContent>
                </v:textbox>
              </v:shape>
            </w:pict>
          </mc:Fallback>
        </mc:AlternateContent>
      </w:r>
      <w:r w:rsidRPr="00A46704">
        <w:rPr>
          <w:b/>
          <w:sz w:val="24"/>
          <w:szCs w:val="24"/>
        </w:rPr>
        <w:t>Texas A&amp;M University-Central Texas</w:t>
      </w:r>
    </w:p>
    <w:p w14:paraId="258119EE" w14:textId="77777777" w:rsidR="002542D4" w:rsidRPr="00A46704" w:rsidRDefault="002542D4" w:rsidP="002542D4">
      <w:pPr>
        <w:pStyle w:val="Header"/>
        <w:jc w:val="center"/>
        <w:rPr>
          <w:b/>
          <w:sz w:val="24"/>
          <w:szCs w:val="24"/>
        </w:rPr>
      </w:pPr>
    </w:p>
    <w:p w14:paraId="64CC878A" w14:textId="77777777" w:rsidR="002542D4" w:rsidRPr="00A46704" w:rsidRDefault="002542D4" w:rsidP="002542D4">
      <w:pPr>
        <w:pStyle w:val="Header"/>
        <w:jc w:val="center"/>
        <w:rPr>
          <w:sz w:val="24"/>
          <w:szCs w:val="24"/>
        </w:rPr>
      </w:pPr>
      <w:r w:rsidRPr="00A46704">
        <w:rPr>
          <w:sz w:val="24"/>
          <w:szCs w:val="24"/>
        </w:rPr>
        <w:t>Bachelor of Science</w:t>
      </w:r>
    </w:p>
    <w:p w14:paraId="1578AF4C" w14:textId="77777777" w:rsidR="002542D4" w:rsidRDefault="002542D4" w:rsidP="002542D4">
      <w:pPr>
        <w:pStyle w:val="Header"/>
        <w:jc w:val="center"/>
        <w:rPr>
          <w:sz w:val="24"/>
          <w:szCs w:val="24"/>
        </w:rPr>
      </w:pPr>
      <w:proofErr w:type="gramStart"/>
      <w:r w:rsidRPr="00844E52">
        <w:rPr>
          <w:sz w:val="24"/>
          <w:szCs w:val="24"/>
        </w:rPr>
        <w:t>with</w:t>
      </w:r>
      <w:proofErr w:type="gramEnd"/>
      <w:r w:rsidRPr="00844E52">
        <w:rPr>
          <w:sz w:val="24"/>
          <w:szCs w:val="24"/>
        </w:rPr>
        <w:t xml:space="preserve"> a major in </w:t>
      </w:r>
      <w:r>
        <w:rPr>
          <w:sz w:val="24"/>
          <w:szCs w:val="24"/>
        </w:rPr>
        <w:t xml:space="preserve">Mechanical Engineering Technology </w:t>
      </w:r>
    </w:p>
    <w:p w14:paraId="51E9BB3E" w14:textId="77777777" w:rsidR="002542D4" w:rsidRDefault="002542D4" w:rsidP="002542D4">
      <w:pPr>
        <w:pStyle w:val="Header"/>
        <w:jc w:val="center"/>
        <w:rPr>
          <w:sz w:val="24"/>
          <w:szCs w:val="24"/>
        </w:rPr>
      </w:pPr>
      <w:r w:rsidRPr="00844E52">
        <w:rPr>
          <w:sz w:val="24"/>
          <w:szCs w:val="24"/>
        </w:rPr>
        <w:t>(</w:t>
      </w:r>
      <w:r>
        <w:rPr>
          <w:sz w:val="24"/>
          <w:szCs w:val="24"/>
        </w:rPr>
        <w:t>CIP 15.0805.00</w:t>
      </w:r>
      <w:r w:rsidRPr="00844E52">
        <w:rPr>
          <w:sz w:val="24"/>
          <w:szCs w:val="24"/>
        </w:rPr>
        <w:t>)</w:t>
      </w:r>
    </w:p>
    <w:p w14:paraId="0EC1220D" w14:textId="77777777" w:rsidR="002542D4" w:rsidRPr="00844E52" w:rsidRDefault="002542D4" w:rsidP="002542D4">
      <w:pPr>
        <w:pStyle w:val="Header"/>
        <w:jc w:val="center"/>
        <w:rPr>
          <w:sz w:val="24"/>
          <w:szCs w:val="24"/>
        </w:rPr>
      </w:pPr>
    </w:p>
    <w:p w14:paraId="22440F1C" w14:textId="77777777" w:rsidR="002542D4" w:rsidRPr="00844E52" w:rsidRDefault="002542D4" w:rsidP="002542D4">
      <w:pPr>
        <w:pStyle w:val="Header"/>
        <w:jc w:val="center"/>
        <w:rPr>
          <w:b/>
          <w:sz w:val="24"/>
          <w:szCs w:val="24"/>
        </w:rPr>
      </w:pPr>
      <w:r w:rsidRPr="00844E52">
        <w:rPr>
          <w:b/>
          <w:sz w:val="24"/>
          <w:szCs w:val="24"/>
        </w:rPr>
        <w:t>Program Review Outline</w:t>
      </w:r>
    </w:p>
    <w:p w14:paraId="28047C77" w14:textId="77777777" w:rsidR="002542D4" w:rsidRPr="00844E52" w:rsidRDefault="002542D4" w:rsidP="002542D4">
      <w:pPr>
        <w:pStyle w:val="Header"/>
        <w:pBdr>
          <w:top w:val="triple" w:sz="4" w:space="1" w:color="auto"/>
        </w:pBdr>
        <w:jc w:val="center"/>
        <w:rPr>
          <w:sz w:val="24"/>
          <w:szCs w:val="24"/>
        </w:rPr>
      </w:pPr>
    </w:p>
    <w:p w14:paraId="4F27AC28" w14:textId="77777777" w:rsidR="002542D4" w:rsidRDefault="002542D4" w:rsidP="002542D4">
      <w:pPr>
        <w:pStyle w:val="Title"/>
        <w:rPr>
          <w:rFonts w:ascii="Times New Roman" w:hAnsi="Times New Roman"/>
          <w:sz w:val="24"/>
          <w:szCs w:val="24"/>
        </w:rPr>
      </w:pPr>
      <w:r w:rsidRPr="00844E52">
        <w:rPr>
          <w:rFonts w:ascii="Times New Roman" w:hAnsi="Times New Roman"/>
          <w:sz w:val="24"/>
          <w:szCs w:val="24"/>
        </w:rPr>
        <w:t>BACKGROUND &amp; PROGRAM DESCRIPTION</w:t>
      </w:r>
    </w:p>
    <w:p w14:paraId="40046CF2" w14:textId="77777777" w:rsidR="002542D4" w:rsidRDefault="002542D4" w:rsidP="002542D4">
      <w:pPr>
        <w:pStyle w:val="Title"/>
        <w:rPr>
          <w:rFonts w:ascii="Times New Roman" w:hAnsi="Times New Roman"/>
          <w:sz w:val="24"/>
          <w:szCs w:val="24"/>
        </w:rPr>
      </w:pPr>
    </w:p>
    <w:p w14:paraId="04D467C5" w14:textId="77777777" w:rsidR="002542D4" w:rsidRDefault="002542D4" w:rsidP="002542D4">
      <w:pPr>
        <w:pStyle w:val="Title"/>
        <w:jc w:val="both"/>
        <w:rPr>
          <w:rFonts w:ascii="Times New Roman" w:hAnsi="Times New Roman"/>
          <w:sz w:val="24"/>
          <w:szCs w:val="24"/>
        </w:rPr>
      </w:pPr>
      <w:r w:rsidRPr="00455D59">
        <w:rPr>
          <w:rFonts w:ascii="Times New Roman" w:hAnsi="Times New Roman"/>
          <w:b w:val="0"/>
          <w:sz w:val="24"/>
          <w:szCs w:val="24"/>
        </w:rPr>
        <w:t>Administrative Unit:</w:t>
      </w:r>
      <w:r>
        <w:rPr>
          <w:rFonts w:ascii="Times New Roman" w:hAnsi="Times New Roman"/>
          <w:sz w:val="24"/>
          <w:szCs w:val="24"/>
        </w:rPr>
        <w:t xml:space="preserve"> Department of Sciences and Mathematics within the College of Arts and Sciences</w:t>
      </w:r>
    </w:p>
    <w:p w14:paraId="639D9A99" w14:textId="77777777" w:rsidR="002542D4" w:rsidRPr="00844E52" w:rsidRDefault="002542D4" w:rsidP="002542D4">
      <w:pPr>
        <w:rPr>
          <w:sz w:val="24"/>
          <w:szCs w:val="24"/>
        </w:rPr>
      </w:pPr>
    </w:p>
    <w:p w14:paraId="3040DBF7" w14:textId="77777777" w:rsidR="002542D4" w:rsidRPr="00597179" w:rsidRDefault="002542D4" w:rsidP="002542D4">
      <w:pPr>
        <w:jc w:val="both"/>
        <w:rPr>
          <w:sz w:val="23"/>
          <w:szCs w:val="23"/>
        </w:rPr>
      </w:pPr>
      <w:r w:rsidRPr="00597179">
        <w:rPr>
          <w:sz w:val="23"/>
          <w:szCs w:val="23"/>
        </w:rPr>
        <w:t>The Bachelor of Science</w:t>
      </w:r>
      <w:r>
        <w:rPr>
          <w:sz w:val="23"/>
          <w:szCs w:val="23"/>
        </w:rPr>
        <w:t xml:space="preserve"> (B.S.)</w:t>
      </w:r>
      <w:r w:rsidRPr="00597179">
        <w:rPr>
          <w:sz w:val="23"/>
          <w:szCs w:val="23"/>
        </w:rPr>
        <w:t xml:space="preserve"> in Mechanical Engineering Technology</w:t>
      </w:r>
      <w:r>
        <w:rPr>
          <w:sz w:val="23"/>
          <w:szCs w:val="23"/>
        </w:rPr>
        <w:t xml:space="preserve"> (MET)</w:t>
      </w:r>
      <w:r w:rsidRPr="00597179">
        <w:rPr>
          <w:sz w:val="23"/>
          <w:szCs w:val="23"/>
        </w:rPr>
        <w:t xml:space="preserve"> at Texas A&amp;M University-Central Texas</w:t>
      </w:r>
      <w:r>
        <w:rPr>
          <w:sz w:val="23"/>
          <w:szCs w:val="23"/>
        </w:rPr>
        <w:t xml:space="preserve"> (A&amp;M-Central Texas)</w:t>
      </w:r>
      <w:r w:rsidRPr="00597179">
        <w:rPr>
          <w:sz w:val="23"/>
          <w:szCs w:val="23"/>
        </w:rPr>
        <w:t xml:space="preserve"> is designed to </w:t>
      </w:r>
      <w:r>
        <w:rPr>
          <w:sz w:val="23"/>
          <w:szCs w:val="23"/>
        </w:rPr>
        <w:t>prepare graduates for</w:t>
      </w:r>
      <w:r w:rsidRPr="00597179">
        <w:rPr>
          <w:sz w:val="23"/>
          <w:szCs w:val="23"/>
        </w:rPr>
        <w:t xml:space="preserve"> </w:t>
      </w:r>
      <w:r>
        <w:rPr>
          <w:sz w:val="23"/>
          <w:szCs w:val="23"/>
        </w:rPr>
        <w:t xml:space="preserve">the </w:t>
      </w:r>
      <w:r w:rsidRPr="00597179">
        <w:rPr>
          <w:sz w:val="23"/>
          <w:szCs w:val="23"/>
        </w:rPr>
        <w:t>appl</w:t>
      </w:r>
      <w:r>
        <w:rPr>
          <w:sz w:val="23"/>
          <w:szCs w:val="23"/>
        </w:rPr>
        <w:t>ication</w:t>
      </w:r>
      <w:r w:rsidRPr="00597179">
        <w:rPr>
          <w:sz w:val="23"/>
          <w:szCs w:val="23"/>
        </w:rPr>
        <w:t xml:space="preserve"> and implement</w:t>
      </w:r>
      <w:r>
        <w:rPr>
          <w:sz w:val="23"/>
          <w:szCs w:val="23"/>
        </w:rPr>
        <w:t>ation of</w:t>
      </w:r>
      <w:r w:rsidRPr="00597179">
        <w:rPr>
          <w:sz w:val="23"/>
          <w:szCs w:val="23"/>
        </w:rPr>
        <w:t xml:space="preserve"> mechanical engineering principles to mechanical systems. </w:t>
      </w:r>
      <w:r>
        <w:rPr>
          <w:sz w:val="23"/>
          <w:szCs w:val="23"/>
        </w:rPr>
        <w:t xml:space="preserve">Though it </w:t>
      </w:r>
      <w:r w:rsidRPr="00597179">
        <w:rPr>
          <w:sz w:val="23"/>
          <w:szCs w:val="23"/>
        </w:rPr>
        <w:t>is closely related to mechanical engineering</w:t>
      </w:r>
      <w:r>
        <w:rPr>
          <w:sz w:val="23"/>
          <w:szCs w:val="23"/>
        </w:rPr>
        <w:t xml:space="preserve">, </w:t>
      </w:r>
      <w:r w:rsidRPr="00597179">
        <w:rPr>
          <w:sz w:val="23"/>
          <w:szCs w:val="23"/>
        </w:rPr>
        <w:t xml:space="preserve">it is </w:t>
      </w:r>
      <w:r>
        <w:rPr>
          <w:sz w:val="23"/>
          <w:szCs w:val="23"/>
        </w:rPr>
        <w:t xml:space="preserve">distinct in that the proposed curriculum </w:t>
      </w:r>
      <w:r w:rsidRPr="00597179">
        <w:rPr>
          <w:sz w:val="23"/>
          <w:szCs w:val="23"/>
        </w:rPr>
        <w:t>focuse</w:t>
      </w:r>
      <w:r>
        <w:rPr>
          <w:sz w:val="23"/>
          <w:szCs w:val="23"/>
        </w:rPr>
        <w:t>s</w:t>
      </w:r>
      <w:r w:rsidRPr="00597179">
        <w:rPr>
          <w:sz w:val="23"/>
          <w:szCs w:val="23"/>
        </w:rPr>
        <w:t xml:space="preserve"> on hands-on learning and application </w:t>
      </w:r>
      <w:r>
        <w:rPr>
          <w:sz w:val="23"/>
          <w:szCs w:val="23"/>
        </w:rPr>
        <w:t xml:space="preserve">in both laboratory and real-world settings </w:t>
      </w:r>
      <w:r w:rsidRPr="00597179">
        <w:rPr>
          <w:sz w:val="23"/>
          <w:szCs w:val="23"/>
        </w:rPr>
        <w:t xml:space="preserve">rather than theory and conceptual designs. The B.S. </w:t>
      </w:r>
      <w:r>
        <w:rPr>
          <w:sz w:val="23"/>
          <w:szCs w:val="23"/>
        </w:rPr>
        <w:t>MET</w:t>
      </w:r>
      <w:r w:rsidRPr="00597179">
        <w:rPr>
          <w:sz w:val="23"/>
          <w:szCs w:val="23"/>
        </w:rPr>
        <w:t xml:space="preserve"> will be the first engineering </w:t>
      </w:r>
      <w:r>
        <w:rPr>
          <w:sz w:val="23"/>
          <w:szCs w:val="23"/>
        </w:rPr>
        <w:t xml:space="preserve">technology </w:t>
      </w:r>
      <w:r w:rsidRPr="00597179">
        <w:rPr>
          <w:sz w:val="23"/>
          <w:szCs w:val="23"/>
        </w:rPr>
        <w:t>program at the university</w:t>
      </w:r>
      <w:r>
        <w:rPr>
          <w:sz w:val="23"/>
          <w:szCs w:val="23"/>
        </w:rPr>
        <w:t xml:space="preserve"> and extends</w:t>
      </w:r>
      <w:r w:rsidRPr="00597179">
        <w:rPr>
          <w:sz w:val="23"/>
          <w:szCs w:val="23"/>
        </w:rPr>
        <w:t xml:space="preserve"> the </w:t>
      </w:r>
      <w:r>
        <w:rPr>
          <w:sz w:val="23"/>
          <w:szCs w:val="23"/>
        </w:rPr>
        <w:t xml:space="preserve">university’s </w:t>
      </w:r>
      <w:r w:rsidRPr="00597179">
        <w:rPr>
          <w:sz w:val="23"/>
          <w:szCs w:val="23"/>
        </w:rPr>
        <w:t>mission of provid</w:t>
      </w:r>
      <w:r>
        <w:rPr>
          <w:sz w:val="23"/>
          <w:szCs w:val="23"/>
        </w:rPr>
        <w:t>ing</w:t>
      </w:r>
      <w:r w:rsidRPr="00597179">
        <w:rPr>
          <w:sz w:val="23"/>
          <w:szCs w:val="23"/>
        </w:rPr>
        <w:t xml:space="preserve"> affordable and </w:t>
      </w:r>
      <w:r w:rsidRPr="001C1DCF">
        <w:rPr>
          <w:noProof/>
          <w:sz w:val="23"/>
          <w:szCs w:val="23"/>
        </w:rPr>
        <w:t>high</w:t>
      </w:r>
      <w:r>
        <w:rPr>
          <w:noProof/>
          <w:sz w:val="23"/>
          <w:szCs w:val="23"/>
        </w:rPr>
        <w:t>-</w:t>
      </w:r>
      <w:r w:rsidRPr="001C1DCF">
        <w:rPr>
          <w:noProof/>
          <w:sz w:val="23"/>
          <w:szCs w:val="23"/>
        </w:rPr>
        <w:t>quality</w:t>
      </w:r>
      <w:r w:rsidRPr="00597179">
        <w:rPr>
          <w:sz w:val="23"/>
          <w:szCs w:val="23"/>
        </w:rPr>
        <w:t xml:space="preserve"> education into an </w:t>
      </w:r>
      <w:r w:rsidRPr="001C1DCF">
        <w:rPr>
          <w:noProof/>
          <w:sz w:val="23"/>
          <w:szCs w:val="23"/>
        </w:rPr>
        <w:t>important</w:t>
      </w:r>
      <w:r w:rsidRPr="00597179">
        <w:rPr>
          <w:sz w:val="23"/>
          <w:szCs w:val="23"/>
        </w:rPr>
        <w:t xml:space="preserve"> area of study. </w:t>
      </w:r>
      <w:r>
        <w:rPr>
          <w:sz w:val="23"/>
          <w:szCs w:val="23"/>
        </w:rPr>
        <w:t xml:space="preserve">With its </w:t>
      </w:r>
      <w:r w:rsidRPr="001C1DCF">
        <w:rPr>
          <w:noProof/>
          <w:sz w:val="23"/>
          <w:szCs w:val="23"/>
        </w:rPr>
        <w:t>large</w:t>
      </w:r>
      <w:r w:rsidRPr="00597179">
        <w:rPr>
          <w:sz w:val="23"/>
          <w:szCs w:val="23"/>
        </w:rPr>
        <w:t xml:space="preserve"> military presence and growing industrial base</w:t>
      </w:r>
      <w:r>
        <w:rPr>
          <w:sz w:val="23"/>
          <w:szCs w:val="23"/>
        </w:rPr>
        <w:t>, an engineering education will be very important to the local region</w:t>
      </w:r>
      <w:r w:rsidRPr="00597179">
        <w:rPr>
          <w:sz w:val="23"/>
          <w:szCs w:val="23"/>
        </w:rPr>
        <w:t xml:space="preserve">. Additionally, the program ties into a highly popular program at </w:t>
      </w:r>
      <w:r>
        <w:rPr>
          <w:sz w:val="23"/>
          <w:szCs w:val="23"/>
        </w:rPr>
        <w:t xml:space="preserve">Central Texas College </w:t>
      </w:r>
      <w:r w:rsidRPr="00597179">
        <w:rPr>
          <w:sz w:val="23"/>
          <w:szCs w:val="23"/>
        </w:rPr>
        <w:t xml:space="preserve">and provides a path for students </w:t>
      </w:r>
      <w:r>
        <w:rPr>
          <w:sz w:val="23"/>
          <w:szCs w:val="23"/>
        </w:rPr>
        <w:t xml:space="preserve">engaged in that program </w:t>
      </w:r>
      <w:r w:rsidRPr="00597179">
        <w:rPr>
          <w:sz w:val="23"/>
          <w:szCs w:val="23"/>
        </w:rPr>
        <w:t xml:space="preserve">to complete a bachelor’s degree in engineering </w:t>
      </w:r>
      <w:r>
        <w:rPr>
          <w:sz w:val="23"/>
          <w:szCs w:val="23"/>
        </w:rPr>
        <w:t>technology</w:t>
      </w:r>
      <w:r w:rsidRPr="00597179">
        <w:rPr>
          <w:sz w:val="23"/>
          <w:szCs w:val="23"/>
        </w:rPr>
        <w:t>.</w:t>
      </w:r>
      <w:r>
        <w:rPr>
          <w:sz w:val="23"/>
          <w:szCs w:val="23"/>
        </w:rPr>
        <w:t xml:space="preserve"> </w:t>
      </w:r>
      <w:r w:rsidRPr="00597179">
        <w:rPr>
          <w:sz w:val="23"/>
          <w:szCs w:val="23"/>
        </w:rPr>
        <w:t>Th</w:t>
      </w:r>
      <w:r>
        <w:rPr>
          <w:sz w:val="23"/>
          <w:szCs w:val="23"/>
        </w:rPr>
        <w:t>e</w:t>
      </w:r>
      <w:r w:rsidRPr="00597179">
        <w:rPr>
          <w:sz w:val="23"/>
          <w:szCs w:val="23"/>
        </w:rPr>
        <w:t xml:space="preserve"> program is designed to be offered on </w:t>
      </w:r>
      <w:r>
        <w:rPr>
          <w:sz w:val="23"/>
          <w:szCs w:val="23"/>
        </w:rPr>
        <w:t>the</w:t>
      </w:r>
      <w:r w:rsidRPr="00597179">
        <w:rPr>
          <w:sz w:val="23"/>
          <w:szCs w:val="23"/>
        </w:rPr>
        <w:t xml:space="preserve"> main campus in a face-to-face or hybrid format</w:t>
      </w:r>
      <w:r>
        <w:rPr>
          <w:sz w:val="23"/>
          <w:szCs w:val="23"/>
        </w:rPr>
        <w:t>, as well as online</w:t>
      </w:r>
      <w:r w:rsidRPr="00597179">
        <w:rPr>
          <w:sz w:val="23"/>
          <w:szCs w:val="23"/>
        </w:rPr>
        <w:t>.</w:t>
      </w:r>
    </w:p>
    <w:p w14:paraId="43435A4A" w14:textId="77777777" w:rsidR="002542D4" w:rsidRPr="00BE256C" w:rsidRDefault="002542D4" w:rsidP="002542D4">
      <w:pPr>
        <w:rPr>
          <w:rFonts w:ascii="Arial" w:hAnsi="Arial"/>
          <w:i/>
          <w:color w:val="FF0000"/>
        </w:rPr>
      </w:pPr>
    </w:p>
    <w:p w14:paraId="09EB8E45" w14:textId="77777777" w:rsidR="002542D4" w:rsidRPr="00A46704" w:rsidRDefault="002542D4" w:rsidP="002542D4">
      <w:pPr>
        <w:jc w:val="both"/>
        <w:rPr>
          <w:sz w:val="23"/>
          <w:szCs w:val="23"/>
        </w:rPr>
      </w:pPr>
      <w:r w:rsidRPr="00A46704">
        <w:rPr>
          <w:sz w:val="23"/>
          <w:szCs w:val="23"/>
        </w:rPr>
        <w:t>Student Learning Outcomes</w:t>
      </w:r>
    </w:p>
    <w:p w14:paraId="2CBDA830" w14:textId="77777777" w:rsidR="002542D4" w:rsidRPr="00A46704" w:rsidRDefault="002542D4" w:rsidP="002542D4">
      <w:pPr>
        <w:pStyle w:val="ListParagraph"/>
        <w:numPr>
          <w:ilvl w:val="0"/>
          <w:numId w:val="4"/>
        </w:numPr>
        <w:jc w:val="both"/>
        <w:rPr>
          <w:sz w:val="23"/>
          <w:szCs w:val="23"/>
        </w:rPr>
      </w:pPr>
      <w:r w:rsidRPr="00A46704">
        <w:rPr>
          <w:sz w:val="23"/>
          <w:szCs w:val="23"/>
        </w:rPr>
        <w:t>Identify, analyze, and solve broadly-defined engineering technology problems</w:t>
      </w:r>
    </w:p>
    <w:p w14:paraId="02E9F8FB" w14:textId="77777777" w:rsidR="002542D4" w:rsidRPr="00A46704" w:rsidRDefault="002542D4" w:rsidP="002542D4">
      <w:pPr>
        <w:pStyle w:val="ListParagraph"/>
        <w:numPr>
          <w:ilvl w:val="0"/>
          <w:numId w:val="4"/>
        </w:numPr>
        <w:jc w:val="both"/>
        <w:rPr>
          <w:sz w:val="23"/>
          <w:szCs w:val="23"/>
        </w:rPr>
      </w:pPr>
      <w:r w:rsidRPr="001C1DCF">
        <w:rPr>
          <w:noProof/>
          <w:sz w:val="23"/>
          <w:szCs w:val="23"/>
        </w:rPr>
        <w:t>App</w:t>
      </w:r>
      <w:r>
        <w:rPr>
          <w:noProof/>
          <w:sz w:val="23"/>
          <w:szCs w:val="23"/>
        </w:rPr>
        <w:t xml:space="preserve">ly </w:t>
      </w:r>
      <w:r w:rsidRPr="00A46704">
        <w:rPr>
          <w:sz w:val="23"/>
          <w:szCs w:val="23"/>
        </w:rPr>
        <w:t>the knowledge, techniques, skills, and modern tools of the discipline</w:t>
      </w:r>
    </w:p>
    <w:p w14:paraId="650169DB" w14:textId="77777777" w:rsidR="002542D4" w:rsidRPr="00A46704" w:rsidRDefault="002542D4" w:rsidP="002542D4">
      <w:pPr>
        <w:pStyle w:val="ListParagraph"/>
        <w:numPr>
          <w:ilvl w:val="0"/>
          <w:numId w:val="4"/>
        </w:numPr>
        <w:jc w:val="both"/>
        <w:rPr>
          <w:sz w:val="23"/>
          <w:szCs w:val="23"/>
        </w:rPr>
      </w:pPr>
      <w:r w:rsidRPr="00A46704">
        <w:rPr>
          <w:sz w:val="23"/>
          <w:szCs w:val="23"/>
        </w:rPr>
        <w:t>Apply current knowledge and adapt to emerging applications of mathematics, science, engineering, and technology</w:t>
      </w:r>
    </w:p>
    <w:p w14:paraId="0246EB01" w14:textId="77777777" w:rsidR="002542D4" w:rsidRPr="00A46704" w:rsidRDefault="002542D4" w:rsidP="002542D4">
      <w:pPr>
        <w:pStyle w:val="ListParagraph"/>
        <w:numPr>
          <w:ilvl w:val="0"/>
          <w:numId w:val="4"/>
        </w:numPr>
        <w:jc w:val="both"/>
        <w:rPr>
          <w:sz w:val="23"/>
          <w:szCs w:val="23"/>
        </w:rPr>
      </w:pPr>
      <w:r w:rsidRPr="00A46704">
        <w:rPr>
          <w:sz w:val="23"/>
          <w:szCs w:val="23"/>
        </w:rPr>
        <w:t>Design, develop</w:t>
      </w:r>
      <w:r>
        <w:rPr>
          <w:sz w:val="23"/>
          <w:szCs w:val="23"/>
        </w:rPr>
        <w:t>,</w:t>
      </w:r>
      <w:r w:rsidRPr="00A46704">
        <w:rPr>
          <w:sz w:val="23"/>
          <w:szCs w:val="23"/>
        </w:rPr>
        <w:t xml:space="preserve"> implement</w:t>
      </w:r>
      <w:r>
        <w:rPr>
          <w:sz w:val="23"/>
          <w:szCs w:val="23"/>
        </w:rPr>
        <w:t>-</w:t>
      </w:r>
      <w:r w:rsidRPr="00A46704">
        <w:rPr>
          <w:sz w:val="23"/>
          <w:szCs w:val="23"/>
        </w:rPr>
        <w:t xml:space="preserve"> </w:t>
      </w:r>
      <w:r>
        <w:rPr>
          <w:sz w:val="23"/>
          <w:szCs w:val="23"/>
        </w:rPr>
        <w:t xml:space="preserve">, operate, and maintain </w:t>
      </w:r>
      <w:r w:rsidRPr="00A46704">
        <w:rPr>
          <w:sz w:val="23"/>
          <w:szCs w:val="23"/>
        </w:rPr>
        <w:t>mechanical systems</w:t>
      </w:r>
    </w:p>
    <w:p w14:paraId="75B233D1" w14:textId="77777777" w:rsidR="002542D4" w:rsidRPr="00A46704" w:rsidRDefault="002542D4" w:rsidP="002542D4">
      <w:pPr>
        <w:pStyle w:val="ListParagraph"/>
        <w:numPr>
          <w:ilvl w:val="0"/>
          <w:numId w:val="4"/>
        </w:numPr>
        <w:jc w:val="both"/>
        <w:rPr>
          <w:sz w:val="23"/>
          <w:szCs w:val="23"/>
        </w:rPr>
      </w:pPr>
      <w:r>
        <w:rPr>
          <w:sz w:val="23"/>
          <w:szCs w:val="23"/>
        </w:rPr>
        <w:t>Improve processes by c</w:t>
      </w:r>
      <w:r w:rsidRPr="00A46704">
        <w:rPr>
          <w:sz w:val="23"/>
          <w:szCs w:val="23"/>
        </w:rPr>
        <w:t>onduct</w:t>
      </w:r>
      <w:r>
        <w:rPr>
          <w:sz w:val="23"/>
          <w:szCs w:val="23"/>
        </w:rPr>
        <w:t>ing, analyzing, and interpreting experiments using</w:t>
      </w:r>
      <w:r w:rsidRPr="00A46704">
        <w:rPr>
          <w:sz w:val="23"/>
          <w:szCs w:val="23"/>
        </w:rPr>
        <w:t xml:space="preserve"> standard tests and measurements</w:t>
      </w:r>
    </w:p>
    <w:p w14:paraId="507ACA72" w14:textId="77777777" w:rsidR="002542D4" w:rsidRPr="00A46704" w:rsidRDefault="002542D4" w:rsidP="002542D4">
      <w:pPr>
        <w:pStyle w:val="ListParagraph"/>
        <w:numPr>
          <w:ilvl w:val="0"/>
          <w:numId w:val="4"/>
        </w:numPr>
        <w:jc w:val="both"/>
        <w:rPr>
          <w:sz w:val="23"/>
          <w:szCs w:val="23"/>
        </w:rPr>
      </w:pPr>
      <w:r w:rsidRPr="00A46704">
        <w:rPr>
          <w:sz w:val="23"/>
          <w:szCs w:val="23"/>
        </w:rPr>
        <w:t>Apply written, oral, and graphical communication in both technical and non-technical environments</w:t>
      </w:r>
    </w:p>
    <w:p w14:paraId="11B54904" w14:textId="77777777" w:rsidR="002542D4" w:rsidRPr="00A46704" w:rsidRDefault="002542D4" w:rsidP="002542D4">
      <w:pPr>
        <w:pStyle w:val="ListParagraph"/>
        <w:numPr>
          <w:ilvl w:val="0"/>
          <w:numId w:val="4"/>
        </w:numPr>
        <w:jc w:val="both"/>
        <w:rPr>
          <w:sz w:val="23"/>
          <w:szCs w:val="23"/>
        </w:rPr>
      </w:pPr>
      <w:r w:rsidRPr="00A46704">
        <w:rPr>
          <w:sz w:val="23"/>
          <w:szCs w:val="23"/>
        </w:rPr>
        <w:t>Collaborate with others as a member or leader in an engineering team</w:t>
      </w:r>
    </w:p>
    <w:p w14:paraId="72BECA82" w14:textId="77777777" w:rsidR="002542D4" w:rsidRPr="00A46704" w:rsidRDefault="002542D4" w:rsidP="002542D4">
      <w:pPr>
        <w:pStyle w:val="ListParagraph"/>
        <w:numPr>
          <w:ilvl w:val="0"/>
          <w:numId w:val="4"/>
        </w:numPr>
        <w:jc w:val="both"/>
        <w:rPr>
          <w:sz w:val="23"/>
          <w:szCs w:val="23"/>
        </w:rPr>
      </w:pPr>
      <w:r w:rsidRPr="00A46704">
        <w:rPr>
          <w:sz w:val="23"/>
          <w:szCs w:val="23"/>
        </w:rPr>
        <w:t xml:space="preserve">Understand and </w:t>
      </w:r>
      <w:r w:rsidRPr="001C1DCF">
        <w:rPr>
          <w:noProof/>
          <w:sz w:val="23"/>
          <w:szCs w:val="23"/>
        </w:rPr>
        <w:t>commit</w:t>
      </w:r>
      <w:r w:rsidRPr="00A46704">
        <w:rPr>
          <w:sz w:val="23"/>
          <w:szCs w:val="23"/>
        </w:rPr>
        <w:t xml:space="preserve"> to professional and ethical responsibilities including </w:t>
      </w:r>
      <w:r w:rsidRPr="001C1DCF">
        <w:rPr>
          <w:noProof/>
          <w:sz w:val="23"/>
          <w:szCs w:val="23"/>
        </w:rPr>
        <w:t>a respect</w:t>
      </w:r>
      <w:r w:rsidRPr="00A46704">
        <w:rPr>
          <w:sz w:val="23"/>
          <w:szCs w:val="23"/>
        </w:rPr>
        <w:t xml:space="preserve"> for diversity</w:t>
      </w:r>
    </w:p>
    <w:p w14:paraId="1C6BD5F0" w14:textId="77777777" w:rsidR="002542D4" w:rsidRPr="00A42705" w:rsidRDefault="002542D4" w:rsidP="002542D4">
      <w:pPr>
        <w:pStyle w:val="ListParagraph"/>
        <w:numPr>
          <w:ilvl w:val="0"/>
          <w:numId w:val="4"/>
        </w:numPr>
        <w:rPr>
          <w:sz w:val="23"/>
          <w:szCs w:val="23"/>
        </w:rPr>
      </w:pPr>
      <w:r w:rsidRPr="00A42705">
        <w:rPr>
          <w:sz w:val="23"/>
          <w:szCs w:val="23"/>
        </w:rPr>
        <w:t>Commit to quality and continuous improvement by engaging in lifelong learning</w:t>
      </w:r>
    </w:p>
    <w:p w14:paraId="6FFB23A3" w14:textId="77777777" w:rsidR="002542D4" w:rsidRPr="00A46704" w:rsidRDefault="002542D4" w:rsidP="002542D4">
      <w:pPr>
        <w:pStyle w:val="ListParagraph"/>
        <w:numPr>
          <w:ilvl w:val="0"/>
          <w:numId w:val="4"/>
        </w:numPr>
        <w:jc w:val="both"/>
        <w:rPr>
          <w:sz w:val="23"/>
          <w:szCs w:val="23"/>
        </w:rPr>
      </w:pPr>
      <w:r>
        <w:rPr>
          <w:sz w:val="23"/>
          <w:szCs w:val="23"/>
        </w:rPr>
        <w:t xml:space="preserve">Recognize </w:t>
      </w:r>
      <w:r w:rsidRPr="00A46704">
        <w:rPr>
          <w:sz w:val="23"/>
          <w:szCs w:val="23"/>
        </w:rPr>
        <w:t>the impact of engineering technology solutions in a societal and global context</w:t>
      </w:r>
    </w:p>
    <w:p w14:paraId="1093210C" w14:textId="77777777" w:rsidR="002542D4" w:rsidRDefault="002542D4" w:rsidP="002542D4">
      <w:pPr>
        <w:rPr>
          <w:sz w:val="23"/>
          <w:szCs w:val="23"/>
        </w:rPr>
      </w:pPr>
    </w:p>
    <w:p w14:paraId="77679482" w14:textId="77777777" w:rsidR="002542D4" w:rsidRDefault="002542D4" w:rsidP="002542D4">
      <w:pPr>
        <w:jc w:val="both"/>
        <w:rPr>
          <w:sz w:val="23"/>
          <w:szCs w:val="23"/>
        </w:rPr>
      </w:pPr>
      <w:r>
        <w:rPr>
          <w:sz w:val="23"/>
          <w:szCs w:val="23"/>
        </w:rPr>
        <w:t xml:space="preserve">The program will require 120 semester credit hours (SCH).  The major field of study will consist of 12 SCH of lower level courses, 44 SCH of upper level required courses and 12 SCH of technical electives.  </w:t>
      </w:r>
    </w:p>
    <w:p w14:paraId="5BB9468C" w14:textId="77777777" w:rsidR="002542D4" w:rsidRDefault="002542D4" w:rsidP="002542D4">
      <w:pPr>
        <w:rPr>
          <w:sz w:val="23"/>
          <w:szCs w:val="23"/>
        </w:rPr>
      </w:pPr>
    </w:p>
    <w:p w14:paraId="6DD4447F" w14:textId="77777777" w:rsidR="002542D4" w:rsidRPr="00A42705" w:rsidRDefault="002542D4" w:rsidP="002542D4">
      <w:pPr>
        <w:jc w:val="both"/>
        <w:rPr>
          <w:sz w:val="23"/>
          <w:szCs w:val="23"/>
        </w:rPr>
      </w:pPr>
      <w:r w:rsidRPr="00A42705">
        <w:rPr>
          <w:sz w:val="23"/>
          <w:szCs w:val="23"/>
        </w:rPr>
        <w:t xml:space="preserve">The proposed implementation date is </w:t>
      </w:r>
      <w:r>
        <w:rPr>
          <w:sz w:val="23"/>
          <w:szCs w:val="23"/>
        </w:rPr>
        <w:t>f</w:t>
      </w:r>
      <w:r w:rsidRPr="00A42705">
        <w:rPr>
          <w:sz w:val="23"/>
          <w:szCs w:val="23"/>
        </w:rPr>
        <w:t>all 2019.</w:t>
      </w:r>
    </w:p>
    <w:p w14:paraId="03549B99" w14:textId="77777777" w:rsidR="002542D4" w:rsidRDefault="002542D4" w:rsidP="002542D4">
      <w:pPr>
        <w:rPr>
          <w:sz w:val="23"/>
          <w:szCs w:val="23"/>
        </w:rPr>
      </w:pPr>
    </w:p>
    <w:p w14:paraId="5FE1FFF1" w14:textId="77777777" w:rsidR="002542D4" w:rsidRDefault="002542D4" w:rsidP="002542D4">
      <w:pPr>
        <w:rPr>
          <w:sz w:val="23"/>
          <w:szCs w:val="23"/>
        </w:rPr>
        <w:sectPr w:rsidR="002542D4" w:rsidSect="002542D4">
          <w:headerReference w:type="default" r:id="rId8"/>
          <w:footerReference w:type="even" r:id="rId9"/>
          <w:footerReference w:type="default" r:id="rId10"/>
          <w:pgSz w:w="12240" w:h="15840" w:code="1"/>
          <w:pgMar w:top="720" w:right="1440" w:bottom="720" w:left="1440" w:header="720" w:footer="432" w:gutter="0"/>
          <w:pgNumType w:start="1"/>
          <w:cols w:space="720"/>
        </w:sectPr>
      </w:pPr>
    </w:p>
    <w:p w14:paraId="7C24A5B4" w14:textId="77777777" w:rsidR="002542D4" w:rsidRPr="00A42705" w:rsidRDefault="002542D4" w:rsidP="002542D4">
      <w:pPr>
        <w:jc w:val="both"/>
        <w:rPr>
          <w:i/>
          <w:sz w:val="23"/>
          <w:szCs w:val="23"/>
        </w:rPr>
      </w:pPr>
      <w:r w:rsidRPr="00A42705">
        <w:rPr>
          <w:sz w:val="23"/>
          <w:szCs w:val="23"/>
        </w:rPr>
        <w:t xml:space="preserve">A&amp;M-Central Texas certifies that the proposed new degree program meets the criteria under </w:t>
      </w:r>
      <w:r>
        <w:rPr>
          <w:sz w:val="23"/>
          <w:szCs w:val="23"/>
        </w:rPr>
        <w:t>Texas Administrative Code, Title 19, Part 1, Chapter 5, Subchapter C, Rule §5.45</w:t>
      </w:r>
      <w:r w:rsidRPr="00A42705">
        <w:rPr>
          <w:sz w:val="23"/>
          <w:szCs w:val="23"/>
        </w:rPr>
        <w:t xml:space="preserve"> in regard to </w:t>
      </w:r>
      <w:r w:rsidRPr="001C1DCF">
        <w:rPr>
          <w:noProof/>
          <w:sz w:val="23"/>
          <w:szCs w:val="23"/>
        </w:rPr>
        <w:t>need</w:t>
      </w:r>
      <w:r w:rsidRPr="00A42705">
        <w:rPr>
          <w:sz w:val="23"/>
          <w:szCs w:val="23"/>
        </w:rPr>
        <w:t>, quality, financial and faculty resources, standards and costs. New costs during the first five years will not exceed $2 million.</w:t>
      </w:r>
    </w:p>
    <w:p w14:paraId="24F5E37A" w14:textId="77777777" w:rsidR="002542D4" w:rsidRPr="00A42705" w:rsidRDefault="002542D4" w:rsidP="002542D4">
      <w:pPr>
        <w:rPr>
          <w:sz w:val="23"/>
          <w:szCs w:val="23"/>
        </w:rPr>
      </w:pPr>
    </w:p>
    <w:p w14:paraId="0824872E" w14:textId="77777777" w:rsidR="002542D4" w:rsidRDefault="002542D4" w:rsidP="002542D4">
      <w:pPr>
        <w:pStyle w:val="Heading1"/>
        <w:numPr>
          <w:ilvl w:val="0"/>
          <w:numId w:val="1"/>
        </w:numPr>
        <w:ind w:left="360" w:hanging="360"/>
        <w:rPr>
          <w:szCs w:val="24"/>
        </w:rPr>
      </w:pPr>
      <w:r w:rsidRPr="00844E52">
        <w:rPr>
          <w:szCs w:val="24"/>
        </w:rPr>
        <w:t>NEED</w:t>
      </w:r>
    </w:p>
    <w:p w14:paraId="7C62AA9A" w14:textId="77777777" w:rsidR="002542D4" w:rsidRPr="00844E52" w:rsidRDefault="002542D4" w:rsidP="002542D4">
      <w:pPr>
        <w:rPr>
          <w:sz w:val="24"/>
          <w:szCs w:val="24"/>
        </w:rPr>
      </w:pPr>
    </w:p>
    <w:p w14:paraId="7037CD4E" w14:textId="77777777" w:rsidR="002542D4" w:rsidRDefault="002542D4" w:rsidP="002542D4">
      <w:pPr>
        <w:numPr>
          <w:ilvl w:val="0"/>
          <w:numId w:val="2"/>
        </w:numPr>
        <w:rPr>
          <w:b/>
          <w:sz w:val="24"/>
          <w:szCs w:val="24"/>
        </w:rPr>
      </w:pPr>
      <w:r w:rsidRPr="00844E52">
        <w:rPr>
          <w:b/>
          <w:sz w:val="24"/>
          <w:szCs w:val="24"/>
        </w:rPr>
        <w:t>Employment Opportunities</w:t>
      </w:r>
      <w:r>
        <w:rPr>
          <w:b/>
          <w:sz w:val="24"/>
          <w:szCs w:val="24"/>
        </w:rPr>
        <w:t xml:space="preserve"> </w:t>
      </w:r>
    </w:p>
    <w:p w14:paraId="27CC10D0" w14:textId="77777777" w:rsidR="002542D4" w:rsidRDefault="002542D4" w:rsidP="002542D4">
      <w:pPr>
        <w:ind w:left="720"/>
        <w:rPr>
          <w:b/>
          <w:sz w:val="24"/>
          <w:szCs w:val="24"/>
        </w:rPr>
      </w:pPr>
    </w:p>
    <w:p w14:paraId="5AADCF8E" w14:textId="77777777" w:rsidR="002542D4" w:rsidRDefault="002542D4" w:rsidP="002542D4">
      <w:pPr>
        <w:ind w:left="720"/>
        <w:jc w:val="both"/>
        <w:rPr>
          <w:sz w:val="23"/>
          <w:szCs w:val="23"/>
        </w:rPr>
      </w:pPr>
      <w:r w:rsidRPr="00597179">
        <w:rPr>
          <w:sz w:val="23"/>
          <w:szCs w:val="23"/>
        </w:rPr>
        <w:t xml:space="preserve">With </w:t>
      </w:r>
      <w:r>
        <w:rPr>
          <w:sz w:val="23"/>
          <w:szCs w:val="23"/>
        </w:rPr>
        <w:t>the rapid and continual advancement of new technologies</w:t>
      </w:r>
      <w:r w:rsidRPr="00597179">
        <w:rPr>
          <w:sz w:val="23"/>
          <w:szCs w:val="23"/>
        </w:rPr>
        <w:t xml:space="preserve"> in the United States, it is imperative that skilled professionals </w:t>
      </w:r>
      <w:r w:rsidRPr="001C1DCF">
        <w:rPr>
          <w:noProof/>
          <w:sz w:val="23"/>
          <w:szCs w:val="23"/>
        </w:rPr>
        <w:t>are</w:t>
      </w:r>
      <w:r w:rsidRPr="00597179">
        <w:rPr>
          <w:sz w:val="23"/>
          <w:szCs w:val="23"/>
        </w:rPr>
        <w:t xml:space="preserve"> </w:t>
      </w:r>
      <w:r>
        <w:rPr>
          <w:sz w:val="23"/>
          <w:szCs w:val="23"/>
        </w:rPr>
        <w:t xml:space="preserve">available and </w:t>
      </w:r>
      <w:r w:rsidRPr="00597179">
        <w:rPr>
          <w:sz w:val="23"/>
          <w:szCs w:val="23"/>
        </w:rPr>
        <w:t xml:space="preserve">able to maintain and even further advance these technologies </w:t>
      </w:r>
      <w:r>
        <w:rPr>
          <w:sz w:val="23"/>
          <w:szCs w:val="23"/>
        </w:rPr>
        <w:t xml:space="preserve">in order </w:t>
      </w:r>
      <w:r w:rsidRPr="00597179">
        <w:rPr>
          <w:sz w:val="23"/>
          <w:szCs w:val="23"/>
        </w:rPr>
        <w:t xml:space="preserve">to remain competitive in an increasingly digital global community. The Bureau of Labor Statistics reports that the job outlook for </w:t>
      </w:r>
      <w:r>
        <w:rPr>
          <w:sz w:val="23"/>
          <w:szCs w:val="23"/>
        </w:rPr>
        <w:t>m</w:t>
      </w:r>
      <w:r w:rsidRPr="00597179">
        <w:rPr>
          <w:sz w:val="23"/>
          <w:szCs w:val="23"/>
        </w:rPr>
        <w:t xml:space="preserve">echanical </w:t>
      </w:r>
      <w:r>
        <w:rPr>
          <w:sz w:val="23"/>
          <w:szCs w:val="23"/>
        </w:rPr>
        <w:t>e</w:t>
      </w:r>
      <w:r w:rsidRPr="00597179">
        <w:rPr>
          <w:sz w:val="23"/>
          <w:szCs w:val="23"/>
        </w:rPr>
        <w:t>ngineers is expected to grow 5% nationally between 201</w:t>
      </w:r>
      <w:r>
        <w:rPr>
          <w:sz w:val="23"/>
          <w:szCs w:val="23"/>
        </w:rPr>
        <w:t>6</w:t>
      </w:r>
      <w:r w:rsidRPr="00597179">
        <w:rPr>
          <w:sz w:val="23"/>
          <w:szCs w:val="23"/>
        </w:rPr>
        <w:t xml:space="preserve"> and 202</w:t>
      </w:r>
      <w:r>
        <w:rPr>
          <w:sz w:val="23"/>
          <w:szCs w:val="23"/>
        </w:rPr>
        <w:t>6</w:t>
      </w:r>
      <w:r w:rsidRPr="00597179">
        <w:rPr>
          <w:sz w:val="23"/>
          <w:szCs w:val="23"/>
        </w:rPr>
        <w:t xml:space="preserve">, with </w:t>
      </w:r>
      <w:r>
        <w:rPr>
          <w:sz w:val="23"/>
          <w:szCs w:val="23"/>
        </w:rPr>
        <w:t>48,400</w:t>
      </w:r>
      <w:r w:rsidRPr="00597179">
        <w:rPr>
          <w:sz w:val="23"/>
          <w:szCs w:val="23"/>
        </w:rPr>
        <w:t xml:space="preserve"> annual job openings by 202</w:t>
      </w:r>
      <w:r>
        <w:rPr>
          <w:sz w:val="23"/>
          <w:szCs w:val="23"/>
        </w:rPr>
        <w:t>6</w:t>
      </w:r>
      <w:r w:rsidRPr="00597179">
        <w:rPr>
          <w:sz w:val="23"/>
          <w:szCs w:val="23"/>
        </w:rPr>
        <w:t>. The national average annual income is $</w:t>
      </w:r>
      <w:r>
        <w:rPr>
          <w:sz w:val="23"/>
          <w:szCs w:val="23"/>
        </w:rPr>
        <w:t>55,360</w:t>
      </w:r>
      <w:r w:rsidRPr="00597179">
        <w:rPr>
          <w:sz w:val="23"/>
          <w:szCs w:val="23"/>
        </w:rPr>
        <w:t xml:space="preserve">. Texas is expected to experience </w:t>
      </w:r>
      <w:r>
        <w:rPr>
          <w:sz w:val="23"/>
          <w:szCs w:val="23"/>
        </w:rPr>
        <w:t xml:space="preserve">a </w:t>
      </w:r>
      <w:r w:rsidRPr="00597179">
        <w:rPr>
          <w:sz w:val="23"/>
          <w:szCs w:val="23"/>
        </w:rPr>
        <w:t>1</w:t>
      </w:r>
      <w:r>
        <w:rPr>
          <w:sz w:val="23"/>
          <w:szCs w:val="23"/>
        </w:rPr>
        <w:t>5</w:t>
      </w:r>
      <w:r w:rsidRPr="00597179">
        <w:rPr>
          <w:sz w:val="23"/>
          <w:szCs w:val="23"/>
        </w:rPr>
        <w:t xml:space="preserve">% growth in </w:t>
      </w:r>
      <w:r>
        <w:rPr>
          <w:sz w:val="23"/>
          <w:szCs w:val="23"/>
        </w:rPr>
        <w:t xml:space="preserve">jobs for </w:t>
      </w:r>
      <w:r w:rsidRPr="00597179">
        <w:rPr>
          <w:sz w:val="23"/>
          <w:szCs w:val="23"/>
        </w:rPr>
        <w:t xml:space="preserve">this </w:t>
      </w:r>
      <w:r w:rsidRPr="001C1DCF">
        <w:rPr>
          <w:noProof/>
          <w:sz w:val="23"/>
          <w:szCs w:val="23"/>
        </w:rPr>
        <w:t>occupation</w:t>
      </w:r>
      <w:bookmarkStart w:id="1" w:name="_Hlk514681620"/>
      <w:r>
        <w:rPr>
          <w:noProof/>
          <w:sz w:val="23"/>
          <w:szCs w:val="23"/>
        </w:rPr>
        <w:t xml:space="preserve"> (6,050 in 2014 to 6,930 by 2024)</w:t>
      </w:r>
      <w:bookmarkEnd w:id="1"/>
      <w:r>
        <w:rPr>
          <w:noProof/>
          <w:sz w:val="23"/>
          <w:szCs w:val="23"/>
        </w:rPr>
        <w:t>,</w:t>
      </w:r>
      <w:r w:rsidRPr="001C1DCF">
        <w:rPr>
          <w:noProof/>
          <w:sz w:val="23"/>
          <w:szCs w:val="23"/>
        </w:rPr>
        <w:t xml:space="preserve"> and</w:t>
      </w:r>
      <w:r w:rsidRPr="00597179">
        <w:rPr>
          <w:sz w:val="23"/>
          <w:szCs w:val="23"/>
        </w:rPr>
        <w:t xml:space="preserve"> has one of the highest average </w:t>
      </w:r>
      <w:r>
        <w:rPr>
          <w:sz w:val="23"/>
          <w:szCs w:val="23"/>
        </w:rPr>
        <w:t>salaries</w:t>
      </w:r>
      <w:r w:rsidRPr="00597179">
        <w:rPr>
          <w:sz w:val="23"/>
          <w:szCs w:val="23"/>
        </w:rPr>
        <w:t xml:space="preserve"> at $1</w:t>
      </w:r>
      <w:r>
        <w:rPr>
          <w:sz w:val="23"/>
          <w:szCs w:val="23"/>
        </w:rPr>
        <w:t>21,470, making the projected growth in job openings for mechanical engineering technologists in Texas three times that of the national average. Additionally, the skills acquired in this program enable graduates to</w:t>
      </w:r>
      <w:r w:rsidRPr="00597179">
        <w:rPr>
          <w:sz w:val="23"/>
          <w:szCs w:val="23"/>
        </w:rPr>
        <w:t xml:space="preserve"> be competitive members of the </w:t>
      </w:r>
      <w:r w:rsidRPr="001C1DCF">
        <w:rPr>
          <w:noProof/>
          <w:sz w:val="23"/>
          <w:szCs w:val="23"/>
        </w:rPr>
        <w:t>workforce</w:t>
      </w:r>
      <w:r w:rsidRPr="00597179">
        <w:rPr>
          <w:sz w:val="23"/>
          <w:szCs w:val="23"/>
        </w:rPr>
        <w:t xml:space="preserve"> </w:t>
      </w:r>
      <w:r>
        <w:rPr>
          <w:sz w:val="23"/>
          <w:szCs w:val="23"/>
        </w:rPr>
        <w:t xml:space="preserve">in other occupations such as </w:t>
      </w:r>
      <w:r w:rsidRPr="00597179">
        <w:rPr>
          <w:sz w:val="23"/>
          <w:szCs w:val="23"/>
        </w:rPr>
        <w:t>petroleum engineers, electrical engineers, mathematicians, draft</w:t>
      </w:r>
      <w:r>
        <w:rPr>
          <w:sz w:val="23"/>
          <w:szCs w:val="23"/>
        </w:rPr>
        <w:t>ing technicians,</w:t>
      </w:r>
      <w:r w:rsidRPr="00597179" w:rsidDel="00647C4A">
        <w:rPr>
          <w:sz w:val="23"/>
          <w:szCs w:val="23"/>
        </w:rPr>
        <w:t xml:space="preserve"> </w:t>
      </w:r>
      <w:r w:rsidRPr="00597179">
        <w:rPr>
          <w:sz w:val="23"/>
          <w:szCs w:val="23"/>
        </w:rPr>
        <w:t>solar energy engineers, and manufacturers.</w:t>
      </w:r>
    </w:p>
    <w:p w14:paraId="59006C2D" w14:textId="77777777" w:rsidR="002542D4" w:rsidRPr="00597179" w:rsidRDefault="002542D4" w:rsidP="002542D4">
      <w:pPr>
        <w:jc w:val="both"/>
        <w:rPr>
          <w:sz w:val="23"/>
          <w:szCs w:val="23"/>
        </w:rPr>
      </w:pPr>
    </w:p>
    <w:p w14:paraId="0042E247" w14:textId="20242BA9" w:rsidR="002542D4" w:rsidRDefault="002542D4" w:rsidP="002542D4">
      <w:pPr>
        <w:numPr>
          <w:ilvl w:val="0"/>
          <w:numId w:val="2"/>
        </w:numPr>
        <w:rPr>
          <w:b/>
          <w:sz w:val="24"/>
          <w:szCs w:val="24"/>
        </w:rPr>
      </w:pPr>
      <w:r>
        <w:rPr>
          <w:b/>
          <w:sz w:val="24"/>
          <w:szCs w:val="24"/>
        </w:rPr>
        <w:t>Projected Enrollment</w:t>
      </w:r>
    </w:p>
    <w:p w14:paraId="20EF6ECC" w14:textId="77777777" w:rsidR="002542D4" w:rsidRDefault="002542D4" w:rsidP="002542D4">
      <w:pPr>
        <w:ind w:left="720"/>
        <w:rPr>
          <w:b/>
          <w:sz w:val="24"/>
          <w:szCs w:val="24"/>
        </w:rPr>
      </w:pPr>
    </w:p>
    <w:tbl>
      <w:tblPr>
        <w:tblW w:w="8550" w:type="dxa"/>
        <w:tblInd w:w="108" w:type="dxa"/>
        <w:tblLook w:val="04A0" w:firstRow="1" w:lastRow="0" w:firstColumn="1" w:lastColumn="0" w:noHBand="0" w:noVBand="1"/>
      </w:tblPr>
      <w:tblGrid>
        <w:gridCol w:w="3870"/>
        <w:gridCol w:w="900"/>
        <w:gridCol w:w="342"/>
        <w:gridCol w:w="600"/>
        <w:gridCol w:w="180"/>
        <w:gridCol w:w="780"/>
        <w:gridCol w:w="780"/>
        <w:gridCol w:w="198"/>
        <w:gridCol w:w="900"/>
      </w:tblGrid>
      <w:tr w:rsidR="002542D4" w:rsidRPr="00FE4D4D" w14:paraId="40B88683" w14:textId="77777777" w:rsidTr="00AE1FD1">
        <w:trPr>
          <w:trHeight w:val="300"/>
        </w:trPr>
        <w:tc>
          <w:tcPr>
            <w:tcW w:w="3870" w:type="dxa"/>
            <w:tcBorders>
              <w:top w:val="nil"/>
              <w:left w:val="nil"/>
              <w:bottom w:val="nil"/>
              <w:right w:val="nil"/>
            </w:tcBorders>
            <w:shd w:val="clear" w:color="auto" w:fill="auto"/>
            <w:noWrap/>
            <w:vAlign w:val="bottom"/>
            <w:hideMark/>
          </w:tcPr>
          <w:p w14:paraId="1C7A5A03" w14:textId="77777777" w:rsidR="002542D4" w:rsidRPr="00FE4D4D" w:rsidRDefault="002542D4" w:rsidP="00AE1FD1">
            <w:pPr>
              <w:rPr>
                <w:b/>
                <w:bCs/>
                <w:color w:val="000000"/>
                <w:sz w:val="23"/>
                <w:szCs w:val="23"/>
              </w:rPr>
            </w:pPr>
            <w:r w:rsidRPr="00FE4D4D">
              <w:rPr>
                <w:b/>
                <w:bCs/>
                <w:color w:val="000000"/>
                <w:sz w:val="23"/>
                <w:szCs w:val="23"/>
              </w:rPr>
              <w:t>Projected Enrollment</w:t>
            </w:r>
          </w:p>
        </w:tc>
        <w:tc>
          <w:tcPr>
            <w:tcW w:w="1242" w:type="dxa"/>
            <w:gridSpan w:val="2"/>
            <w:tcBorders>
              <w:top w:val="nil"/>
              <w:left w:val="nil"/>
              <w:bottom w:val="nil"/>
              <w:right w:val="nil"/>
            </w:tcBorders>
            <w:shd w:val="clear" w:color="auto" w:fill="auto"/>
            <w:noWrap/>
            <w:vAlign w:val="bottom"/>
            <w:hideMark/>
          </w:tcPr>
          <w:p w14:paraId="1CDBD50C" w14:textId="77777777" w:rsidR="002542D4" w:rsidRPr="00FE4D4D" w:rsidRDefault="002542D4" w:rsidP="00AE1FD1">
            <w:pPr>
              <w:rPr>
                <w:b/>
                <w:bCs/>
                <w:color w:val="000000"/>
                <w:sz w:val="23"/>
                <w:szCs w:val="23"/>
              </w:rPr>
            </w:pPr>
          </w:p>
        </w:tc>
        <w:tc>
          <w:tcPr>
            <w:tcW w:w="780" w:type="dxa"/>
            <w:gridSpan w:val="2"/>
            <w:tcBorders>
              <w:top w:val="nil"/>
              <w:left w:val="nil"/>
              <w:bottom w:val="nil"/>
              <w:right w:val="nil"/>
            </w:tcBorders>
            <w:shd w:val="clear" w:color="auto" w:fill="auto"/>
            <w:noWrap/>
            <w:vAlign w:val="bottom"/>
            <w:hideMark/>
          </w:tcPr>
          <w:p w14:paraId="3888EA6D" w14:textId="77777777" w:rsidR="002542D4" w:rsidRPr="00FE4D4D" w:rsidRDefault="002542D4" w:rsidP="00AE1FD1">
            <w:pPr>
              <w:rPr>
                <w:sz w:val="23"/>
                <w:szCs w:val="23"/>
              </w:rPr>
            </w:pPr>
          </w:p>
        </w:tc>
        <w:tc>
          <w:tcPr>
            <w:tcW w:w="780" w:type="dxa"/>
            <w:tcBorders>
              <w:top w:val="nil"/>
              <w:left w:val="nil"/>
              <w:bottom w:val="nil"/>
              <w:right w:val="nil"/>
            </w:tcBorders>
            <w:shd w:val="clear" w:color="auto" w:fill="auto"/>
            <w:noWrap/>
            <w:vAlign w:val="bottom"/>
            <w:hideMark/>
          </w:tcPr>
          <w:p w14:paraId="779632DB" w14:textId="77777777" w:rsidR="002542D4" w:rsidRPr="00FE4D4D" w:rsidRDefault="002542D4" w:rsidP="00AE1FD1">
            <w:pPr>
              <w:rPr>
                <w:sz w:val="23"/>
                <w:szCs w:val="23"/>
              </w:rPr>
            </w:pPr>
          </w:p>
        </w:tc>
        <w:tc>
          <w:tcPr>
            <w:tcW w:w="780" w:type="dxa"/>
            <w:tcBorders>
              <w:top w:val="nil"/>
              <w:left w:val="nil"/>
              <w:bottom w:val="nil"/>
              <w:right w:val="nil"/>
            </w:tcBorders>
            <w:shd w:val="clear" w:color="auto" w:fill="auto"/>
            <w:noWrap/>
            <w:vAlign w:val="bottom"/>
            <w:hideMark/>
          </w:tcPr>
          <w:p w14:paraId="582A04E7" w14:textId="77777777" w:rsidR="002542D4" w:rsidRPr="00FE4D4D" w:rsidRDefault="002542D4" w:rsidP="00AE1FD1">
            <w:pPr>
              <w:rPr>
                <w:sz w:val="23"/>
                <w:szCs w:val="23"/>
              </w:rPr>
            </w:pPr>
          </w:p>
        </w:tc>
        <w:tc>
          <w:tcPr>
            <w:tcW w:w="1098" w:type="dxa"/>
            <w:gridSpan w:val="2"/>
            <w:tcBorders>
              <w:top w:val="nil"/>
              <w:left w:val="nil"/>
              <w:bottom w:val="nil"/>
              <w:right w:val="nil"/>
            </w:tcBorders>
            <w:shd w:val="clear" w:color="auto" w:fill="auto"/>
            <w:noWrap/>
            <w:vAlign w:val="bottom"/>
            <w:hideMark/>
          </w:tcPr>
          <w:p w14:paraId="5F0AE9CF" w14:textId="77777777" w:rsidR="002542D4" w:rsidRPr="00FE4D4D" w:rsidRDefault="002542D4" w:rsidP="00AE1FD1">
            <w:pPr>
              <w:rPr>
                <w:sz w:val="23"/>
                <w:szCs w:val="23"/>
              </w:rPr>
            </w:pPr>
          </w:p>
        </w:tc>
      </w:tr>
      <w:tr w:rsidR="002542D4" w:rsidRPr="00FE4D4D" w14:paraId="48A1FAD4" w14:textId="77777777" w:rsidTr="00AE1FD1">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020D210A" w14:textId="77777777" w:rsidR="002542D4" w:rsidRPr="00FE4D4D" w:rsidRDefault="002542D4" w:rsidP="00AE1FD1">
            <w:pPr>
              <w:jc w:val="center"/>
              <w:rPr>
                <w:b/>
                <w:bCs/>
                <w:color w:val="FFFFFF"/>
                <w:sz w:val="23"/>
                <w:szCs w:val="23"/>
              </w:rPr>
            </w:pPr>
            <w:r w:rsidRPr="00FE4D4D">
              <w:rPr>
                <w:b/>
                <w:bCs/>
                <w:color w:val="FFFFFF"/>
                <w:sz w:val="23"/>
                <w:szCs w:val="23"/>
              </w:rPr>
              <w:t> </w:t>
            </w:r>
          </w:p>
        </w:tc>
        <w:tc>
          <w:tcPr>
            <w:tcW w:w="900" w:type="dxa"/>
            <w:tcBorders>
              <w:top w:val="single" w:sz="4" w:space="0" w:color="auto"/>
              <w:left w:val="nil"/>
              <w:bottom w:val="single" w:sz="4" w:space="0" w:color="auto"/>
              <w:right w:val="single" w:sz="4" w:space="0" w:color="auto"/>
            </w:tcBorders>
            <w:shd w:val="clear" w:color="auto" w:fill="1F497D" w:themeFill="text2"/>
            <w:noWrap/>
            <w:vAlign w:val="bottom"/>
            <w:hideMark/>
          </w:tcPr>
          <w:p w14:paraId="4CB9411E" w14:textId="77777777" w:rsidR="002542D4" w:rsidRPr="00FE4D4D" w:rsidRDefault="002542D4" w:rsidP="00AE1FD1">
            <w:pPr>
              <w:jc w:val="center"/>
              <w:rPr>
                <w:b/>
                <w:bCs/>
                <w:color w:val="FFFFFF"/>
                <w:sz w:val="23"/>
                <w:szCs w:val="23"/>
              </w:rPr>
            </w:pPr>
            <w:r w:rsidRPr="00FE4D4D">
              <w:rPr>
                <w:b/>
                <w:bCs/>
                <w:color w:val="FFFFFF"/>
                <w:sz w:val="23"/>
                <w:szCs w:val="23"/>
              </w:rPr>
              <w:t>Year 1</w:t>
            </w:r>
          </w:p>
        </w:tc>
        <w:tc>
          <w:tcPr>
            <w:tcW w:w="942" w:type="dxa"/>
            <w:gridSpan w:val="2"/>
            <w:tcBorders>
              <w:top w:val="single" w:sz="4" w:space="0" w:color="auto"/>
              <w:left w:val="nil"/>
              <w:bottom w:val="single" w:sz="4" w:space="0" w:color="auto"/>
              <w:right w:val="single" w:sz="4" w:space="0" w:color="auto"/>
            </w:tcBorders>
            <w:shd w:val="clear" w:color="auto" w:fill="1F497D" w:themeFill="text2"/>
            <w:noWrap/>
            <w:vAlign w:val="bottom"/>
            <w:hideMark/>
          </w:tcPr>
          <w:p w14:paraId="7A03F67C" w14:textId="77777777" w:rsidR="002542D4" w:rsidRPr="00FE4D4D" w:rsidRDefault="002542D4" w:rsidP="00AE1FD1">
            <w:pPr>
              <w:jc w:val="center"/>
              <w:rPr>
                <w:b/>
                <w:bCs/>
                <w:color w:val="FFFFFF"/>
                <w:sz w:val="23"/>
                <w:szCs w:val="23"/>
              </w:rPr>
            </w:pPr>
            <w:r w:rsidRPr="00FE4D4D">
              <w:rPr>
                <w:b/>
                <w:bCs/>
                <w:color w:val="FFFFFF"/>
                <w:sz w:val="23"/>
                <w:szCs w:val="23"/>
              </w:rPr>
              <w:t>Year 2</w:t>
            </w:r>
          </w:p>
        </w:tc>
        <w:tc>
          <w:tcPr>
            <w:tcW w:w="960" w:type="dxa"/>
            <w:gridSpan w:val="2"/>
            <w:tcBorders>
              <w:top w:val="single" w:sz="4" w:space="0" w:color="auto"/>
              <w:left w:val="nil"/>
              <w:bottom w:val="single" w:sz="4" w:space="0" w:color="auto"/>
              <w:right w:val="single" w:sz="4" w:space="0" w:color="auto"/>
            </w:tcBorders>
            <w:shd w:val="clear" w:color="auto" w:fill="1F497D" w:themeFill="text2"/>
            <w:noWrap/>
            <w:vAlign w:val="bottom"/>
            <w:hideMark/>
          </w:tcPr>
          <w:p w14:paraId="0513FB0C" w14:textId="77777777" w:rsidR="002542D4" w:rsidRPr="00FE4D4D" w:rsidRDefault="002542D4" w:rsidP="00AE1FD1">
            <w:pPr>
              <w:jc w:val="center"/>
              <w:rPr>
                <w:b/>
                <w:bCs/>
                <w:color w:val="FFFFFF"/>
                <w:sz w:val="23"/>
                <w:szCs w:val="23"/>
              </w:rPr>
            </w:pPr>
            <w:r w:rsidRPr="00FE4D4D">
              <w:rPr>
                <w:b/>
                <w:bCs/>
                <w:color w:val="FFFFFF"/>
                <w:sz w:val="23"/>
                <w:szCs w:val="23"/>
              </w:rPr>
              <w:t>Year 3</w:t>
            </w:r>
          </w:p>
        </w:tc>
        <w:tc>
          <w:tcPr>
            <w:tcW w:w="978" w:type="dxa"/>
            <w:gridSpan w:val="2"/>
            <w:tcBorders>
              <w:top w:val="single" w:sz="4" w:space="0" w:color="auto"/>
              <w:left w:val="nil"/>
              <w:bottom w:val="single" w:sz="4" w:space="0" w:color="auto"/>
              <w:right w:val="single" w:sz="4" w:space="0" w:color="auto"/>
            </w:tcBorders>
            <w:shd w:val="clear" w:color="auto" w:fill="1F497D" w:themeFill="text2"/>
            <w:noWrap/>
            <w:vAlign w:val="bottom"/>
            <w:hideMark/>
          </w:tcPr>
          <w:p w14:paraId="6A92A28B" w14:textId="77777777" w:rsidR="002542D4" w:rsidRPr="00FE4D4D" w:rsidRDefault="002542D4" w:rsidP="00AE1FD1">
            <w:pPr>
              <w:jc w:val="center"/>
              <w:rPr>
                <w:b/>
                <w:bCs/>
                <w:color w:val="FFFFFF"/>
                <w:sz w:val="23"/>
                <w:szCs w:val="23"/>
              </w:rPr>
            </w:pPr>
            <w:r w:rsidRPr="00FE4D4D">
              <w:rPr>
                <w:b/>
                <w:bCs/>
                <w:color w:val="FFFFFF"/>
                <w:sz w:val="23"/>
                <w:szCs w:val="23"/>
              </w:rPr>
              <w:t>Year 4</w:t>
            </w:r>
          </w:p>
        </w:tc>
        <w:tc>
          <w:tcPr>
            <w:tcW w:w="900" w:type="dxa"/>
            <w:tcBorders>
              <w:top w:val="single" w:sz="4" w:space="0" w:color="auto"/>
              <w:left w:val="nil"/>
              <w:bottom w:val="single" w:sz="4" w:space="0" w:color="auto"/>
              <w:right w:val="single" w:sz="4" w:space="0" w:color="auto"/>
            </w:tcBorders>
            <w:shd w:val="clear" w:color="auto" w:fill="1F497D" w:themeFill="text2"/>
            <w:noWrap/>
            <w:vAlign w:val="bottom"/>
            <w:hideMark/>
          </w:tcPr>
          <w:p w14:paraId="1672AEA0" w14:textId="77777777" w:rsidR="002542D4" w:rsidRPr="00FE4D4D" w:rsidRDefault="002542D4" w:rsidP="00AE1FD1">
            <w:pPr>
              <w:jc w:val="center"/>
              <w:rPr>
                <w:b/>
                <w:bCs/>
                <w:color w:val="FFFFFF"/>
                <w:sz w:val="23"/>
                <w:szCs w:val="23"/>
              </w:rPr>
            </w:pPr>
            <w:r w:rsidRPr="00FE4D4D">
              <w:rPr>
                <w:b/>
                <w:bCs/>
                <w:color w:val="FFFFFF"/>
                <w:sz w:val="23"/>
                <w:szCs w:val="23"/>
              </w:rPr>
              <w:t>Year 5</w:t>
            </w:r>
          </w:p>
        </w:tc>
      </w:tr>
      <w:tr w:rsidR="002542D4" w:rsidRPr="00FE4D4D" w14:paraId="206FC547" w14:textId="77777777" w:rsidTr="00AE1FD1">
        <w:trPr>
          <w:trHeight w:val="300"/>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09207488" w14:textId="77777777" w:rsidR="002542D4" w:rsidRPr="00FE4D4D" w:rsidRDefault="002542D4" w:rsidP="00AE1FD1">
            <w:pPr>
              <w:rPr>
                <w:color w:val="000000"/>
                <w:sz w:val="23"/>
                <w:szCs w:val="23"/>
              </w:rPr>
            </w:pPr>
            <w:r w:rsidRPr="00FE4D4D">
              <w:rPr>
                <w:color w:val="000000"/>
                <w:sz w:val="23"/>
                <w:szCs w:val="23"/>
              </w:rPr>
              <w:t>Students Returning from Previous Year</w:t>
            </w:r>
          </w:p>
        </w:tc>
        <w:tc>
          <w:tcPr>
            <w:tcW w:w="900" w:type="dxa"/>
            <w:tcBorders>
              <w:top w:val="nil"/>
              <w:left w:val="nil"/>
              <w:bottom w:val="single" w:sz="4" w:space="0" w:color="auto"/>
              <w:right w:val="single" w:sz="4" w:space="0" w:color="auto"/>
            </w:tcBorders>
            <w:shd w:val="clear" w:color="auto" w:fill="auto"/>
            <w:noWrap/>
            <w:vAlign w:val="bottom"/>
            <w:hideMark/>
          </w:tcPr>
          <w:p w14:paraId="3D232CE5" w14:textId="77777777" w:rsidR="002542D4" w:rsidRPr="00FE4D4D" w:rsidRDefault="002542D4" w:rsidP="00AE1FD1">
            <w:pPr>
              <w:jc w:val="right"/>
              <w:rPr>
                <w:color w:val="000000"/>
                <w:sz w:val="23"/>
                <w:szCs w:val="23"/>
              </w:rPr>
            </w:pPr>
            <w:r w:rsidRPr="00FE4D4D">
              <w:rPr>
                <w:color w:val="000000"/>
                <w:sz w:val="23"/>
                <w:szCs w:val="23"/>
              </w:rPr>
              <w:t> </w:t>
            </w:r>
          </w:p>
        </w:tc>
        <w:tc>
          <w:tcPr>
            <w:tcW w:w="942" w:type="dxa"/>
            <w:gridSpan w:val="2"/>
            <w:tcBorders>
              <w:top w:val="nil"/>
              <w:left w:val="nil"/>
              <w:bottom w:val="single" w:sz="4" w:space="0" w:color="auto"/>
              <w:right w:val="single" w:sz="4" w:space="0" w:color="auto"/>
            </w:tcBorders>
            <w:shd w:val="clear" w:color="auto" w:fill="auto"/>
            <w:noWrap/>
            <w:vAlign w:val="bottom"/>
          </w:tcPr>
          <w:p w14:paraId="097E1C78" w14:textId="77777777" w:rsidR="002542D4" w:rsidRPr="00FE4D4D" w:rsidRDefault="002542D4" w:rsidP="00AE1FD1">
            <w:pPr>
              <w:jc w:val="right"/>
              <w:rPr>
                <w:color w:val="000000"/>
                <w:sz w:val="23"/>
                <w:szCs w:val="23"/>
              </w:rPr>
            </w:pPr>
            <w:r>
              <w:rPr>
                <w:color w:val="000000"/>
                <w:sz w:val="23"/>
                <w:szCs w:val="23"/>
              </w:rPr>
              <w:t>28</w:t>
            </w:r>
          </w:p>
        </w:tc>
        <w:tc>
          <w:tcPr>
            <w:tcW w:w="960" w:type="dxa"/>
            <w:gridSpan w:val="2"/>
            <w:tcBorders>
              <w:top w:val="nil"/>
              <w:left w:val="nil"/>
              <w:bottom w:val="single" w:sz="4" w:space="0" w:color="auto"/>
              <w:right w:val="single" w:sz="4" w:space="0" w:color="auto"/>
            </w:tcBorders>
            <w:shd w:val="clear" w:color="auto" w:fill="auto"/>
            <w:noWrap/>
            <w:vAlign w:val="bottom"/>
          </w:tcPr>
          <w:p w14:paraId="4616E1D0" w14:textId="77777777" w:rsidR="002542D4" w:rsidRPr="00FE4D4D" w:rsidRDefault="002542D4" w:rsidP="00AE1FD1">
            <w:pPr>
              <w:jc w:val="right"/>
              <w:rPr>
                <w:color w:val="000000"/>
                <w:sz w:val="23"/>
                <w:szCs w:val="23"/>
              </w:rPr>
            </w:pPr>
            <w:r>
              <w:rPr>
                <w:color w:val="000000"/>
                <w:sz w:val="23"/>
                <w:szCs w:val="23"/>
              </w:rPr>
              <w:t>48</w:t>
            </w:r>
          </w:p>
        </w:tc>
        <w:tc>
          <w:tcPr>
            <w:tcW w:w="978" w:type="dxa"/>
            <w:gridSpan w:val="2"/>
            <w:tcBorders>
              <w:top w:val="nil"/>
              <w:left w:val="nil"/>
              <w:bottom w:val="single" w:sz="4" w:space="0" w:color="auto"/>
              <w:right w:val="single" w:sz="4" w:space="0" w:color="auto"/>
            </w:tcBorders>
            <w:shd w:val="clear" w:color="auto" w:fill="auto"/>
            <w:noWrap/>
            <w:vAlign w:val="bottom"/>
          </w:tcPr>
          <w:p w14:paraId="76E1C792" w14:textId="77777777" w:rsidR="002542D4" w:rsidRPr="00FE4D4D" w:rsidRDefault="002542D4" w:rsidP="00AE1FD1">
            <w:pPr>
              <w:jc w:val="right"/>
              <w:rPr>
                <w:color w:val="000000"/>
                <w:sz w:val="23"/>
                <w:szCs w:val="23"/>
              </w:rPr>
            </w:pPr>
            <w:r>
              <w:rPr>
                <w:color w:val="000000"/>
                <w:sz w:val="23"/>
                <w:szCs w:val="23"/>
              </w:rPr>
              <w:t>63</w:t>
            </w:r>
          </w:p>
        </w:tc>
        <w:tc>
          <w:tcPr>
            <w:tcW w:w="900" w:type="dxa"/>
            <w:tcBorders>
              <w:top w:val="nil"/>
              <w:left w:val="nil"/>
              <w:bottom w:val="single" w:sz="4" w:space="0" w:color="auto"/>
              <w:right w:val="single" w:sz="4" w:space="0" w:color="auto"/>
            </w:tcBorders>
            <w:shd w:val="clear" w:color="auto" w:fill="auto"/>
            <w:noWrap/>
            <w:vAlign w:val="bottom"/>
          </w:tcPr>
          <w:p w14:paraId="4EB2122A" w14:textId="77777777" w:rsidR="002542D4" w:rsidRPr="00FE4D4D" w:rsidRDefault="002542D4" w:rsidP="00AE1FD1">
            <w:pPr>
              <w:jc w:val="right"/>
              <w:rPr>
                <w:color w:val="000000"/>
                <w:sz w:val="23"/>
                <w:szCs w:val="23"/>
              </w:rPr>
            </w:pPr>
            <w:r>
              <w:rPr>
                <w:color w:val="000000"/>
                <w:sz w:val="23"/>
                <w:szCs w:val="23"/>
              </w:rPr>
              <w:t>73</w:t>
            </w:r>
          </w:p>
        </w:tc>
      </w:tr>
      <w:tr w:rsidR="002542D4" w:rsidRPr="00FE4D4D" w14:paraId="5865E9EF" w14:textId="77777777" w:rsidTr="00AE1FD1">
        <w:trPr>
          <w:trHeight w:val="300"/>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7AEFFD78" w14:textId="77777777" w:rsidR="002542D4" w:rsidRPr="00FE4D4D" w:rsidRDefault="002542D4" w:rsidP="00AE1FD1">
            <w:pPr>
              <w:rPr>
                <w:color w:val="000000"/>
                <w:sz w:val="23"/>
                <w:szCs w:val="23"/>
              </w:rPr>
            </w:pPr>
            <w:r w:rsidRPr="00FE4D4D">
              <w:rPr>
                <w:color w:val="000000"/>
                <w:sz w:val="23"/>
                <w:szCs w:val="23"/>
              </w:rPr>
              <w:t>New Students</w:t>
            </w:r>
          </w:p>
        </w:tc>
        <w:tc>
          <w:tcPr>
            <w:tcW w:w="900" w:type="dxa"/>
            <w:tcBorders>
              <w:top w:val="nil"/>
              <w:left w:val="nil"/>
              <w:bottom w:val="single" w:sz="4" w:space="0" w:color="auto"/>
              <w:right w:val="single" w:sz="4" w:space="0" w:color="auto"/>
            </w:tcBorders>
            <w:shd w:val="clear" w:color="auto" w:fill="auto"/>
            <w:noWrap/>
            <w:vAlign w:val="bottom"/>
          </w:tcPr>
          <w:p w14:paraId="63DBEC23" w14:textId="77777777" w:rsidR="002542D4" w:rsidRPr="00FE4D4D" w:rsidRDefault="002542D4" w:rsidP="00AE1FD1">
            <w:pPr>
              <w:jc w:val="right"/>
              <w:rPr>
                <w:color w:val="000000"/>
                <w:sz w:val="23"/>
                <w:szCs w:val="23"/>
              </w:rPr>
            </w:pPr>
            <w:r>
              <w:rPr>
                <w:color w:val="000000"/>
                <w:sz w:val="23"/>
                <w:szCs w:val="23"/>
              </w:rPr>
              <w:t>28</w:t>
            </w:r>
          </w:p>
        </w:tc>
        <w:tc>
          <w:tcPr>
            <w:tcW w:w="942" w:type="dxa"/>
            <w:gridSpan w:val="2"/>
            <w:tcBorders>
              <w:top w:val="nil"/>
              <w:left w:val="nil"/>
              <w:bottom w:val="single" w:sz="4" w:space="0" w:color="auto"/>
              <w:right w:val="single" w:sz="4" w:space="0" w:color="auto"/>
            </w:tcBorders>
            <w:shd w:val="clear" w:color="auto" w:fill="auto"/>
            <w:noWrap/>
            <w:vAlign w:val="bottom"/>
          </w:tcPr>
          <w:p w14:paraId="06FEEB30" w14:textId="77777777" w:rsidR="002542D4" w:rsidRPr="00FE4D4D" w:rsidRDefault="002542D4" w:rsidP="00AE1FD1">
            <w:pPr>
              <w:jc w:val="right"/>
              <w:rPr>
                <w:color w:val="000000"/>
                <w:sz w:val="23"/>
                <w:szCs w:val="23"/>
              </w:rPr>
            </w:pPr>
            <w:r>
              <w:rPr>
                <w:color w:val="000000"/>
                <w:sz w:val="23"/>
                <w:szCs w:val="23"/>
              </w:rPr>
              <w:t>32</w:t>
            </w:r>
          </w:p>
        </w:tc>
        <w:tc>
          <w:tcPr>
            <w:tcW w:w="960" w:type="dxa"/>
            <w:gridSpan w:val="2"/>
            <w:tcBorders>
              <w:top w:val="nil"/>
              <w:left w:val="nil"/>
              <w:bottom w:val="single" w:sz="4" w:space="0" w:color="auto"/>
              <w:right w:val="single" w:sz="4" w:space="0" w:color="auto"/>
            </w:tcBorders>
            <w:shd w:val="clear" w:color="auto" w:fill="auto"/>
            <w:noWrap/>
            <w:vAlign w:val="bottom"/>
          </w:tcPr>
          <w:p w14:paraId="7C913633" w14:textId="77777777" w:rsidR="002542D4" w:rsidRPr="00FE4D4D" w:rsidRDefault="002542D4" w:rsidP="00AE1FD1">
            <w:pPr>
              <w:jc w:val="right"/>
              <w:rPr>
                <w:color w:val="000000"/>
                <w:sz w:val="23"/>
                <w:szCs w:val="23"/>
              </w:rPr>
            </w:pPr>
            <w:r>
              <w:rPr>
                <w:color w:val="000000"/>
                <w:sz w:val="23"/>
                <w:szCs w:val="23"/>
              </w:rPr>
              <w:t>36</w:t>
            </w:r>
          </w:p>
        </w:tc>
        <w:tc>
          <w:tcPr>
            <w:tcW w:w="978" w:type="dxa"/>
            <w:gridSpan w:val="2"/>
            <w:tcBorders>
              <w:top w:val="nil"/>
              <w:left w:val="nil"/>
              <w:bottom w:val="single" w:sz="4" w:space="0" w:color="auto"/>
              <w:right w:val="single" w:sz="4" w:space="0" w:color="auto"/>
            </w:tcBorders>
            <w:shd w:val="clear" w:color="auto" w:fill="auto"/>
            <w:noWrap/>
            <w:vAlign w:val="bottom"/>
          </w:tcPr>
          <w:p w14:paraId="69D93158" w14:textId="77777777" w:rsidR="002542D4" w:rsidRPr="00FE4D4D" w:rsidRDefault="002542D4" w:rsidP="00AE1FD1">
            <w:pPr>
              <w:jc w:val="right"/>
              <w:rPr>
                <w:color w:val="000000"/>
                <w:sz w:val="23"/>
                <w:szCs w:val="23"/>
              </w:rPr>
            </w:pPr>
            <w:r>
              <w:rPr>
                <w:color w:val="000000"/>
                <w:sz w:val="23"/>
                <w:szCs w:val="23"/>
              </w:rPr>
              <w:t>40</w:t>
            </w:r>
          </w:p>
        </w:tc>
        <w:tc>
          <w:tcPr>
            <w:tcW w:w="900" w:type="dxa"/>
            <w:tcBorders>
              <w:top w:val="nil"/>
              <w:left w:val="nil"/>
              <w:bottom w:val="single" w:sz="4" w:space="0" w:color="auto"/>
              <w:right w:val="single" w:sz="4" w:space="0" w:color="auto"/>
            </w:tcBorders>
            <w:shd w:val="clear" w:color="auto" w:fill="auto"/>
            <w:noWrap/>
            <w:vAlign w:val="bottom"/>
          </w:tcPr>
          <w:p w14:paraId="4C46EFAF" w14:textId="77777777" w:rsidR="002542D4" w:rsidRPr="00FE4D4D" w:rsidRDefault="002542D4" w:rsidP="00AE1FD1">
            <w:pPr>
              <w:jc w:val="right"/>
              <w:rPr>
                <w:color w:val="000000"/>
                <w:sz w:val="23"/>
                <w:szCs w:val="23"/>
              </w:rPr>
            </w:pPr>
            <w:r>
              <w:rPr>
                <w:color w:val="000000"/>
                <w:sz w:val="23"/>
                <w:szCs w:val="23"/>
              </w:rPr>
              <w:t>44</w:t>
            </w:r>
          </w:p>
        </w:tc>
      </w:tr>
      <w:tr w:rsidR="002542D4" w:rsidRPr="00FE4D4D" w14:paraId="034A695D" w14:textId="77777777" w:rsidTr="00AE1FD1">
        <w:trPr>
          <w:trHeight w:val="300"/>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58CC5C1A" w14:textId="77777777" w:rsidR="002542D4" w:rsidRPr="00FE4D4D" w:rsidRDefault="002542D4" w:rsidP="00AE1FD1">
            <w:pPr>
              <w:rPr>
                <w:color w:val="000000"/>
                <w:sz w:val="23"/>
                <w:szCs w:val="23"/>
              </w:rPr>
            </w:pPr>
            <w:r w:rsidRPr="00FE4D4D">
              <w:rPr>
                <w:color w:val="000000"/>
                <w:sz w:val="23"/>
                <w:szCs w:val="23"/>
              </w:rPr>
              <w:t>Total Number of Students</w:t>
            </w:r>
          </w:p>
        </w:tc>
        <w:tc>
          <w:tcPr>
            <w:tcW w:w="900" w:type="dxa"/>
            <w:tcBorders>
              <w:top w:val="nil"/>
              <w:left w:val="nil"/>
              <w:bottom w:val="single" w:sz="4" w:space="0" w:color="auto"/>
              <w:right w:val="single" w:sz="4" w:space="0" w:color="auto"/>
            </w:tcBorders>
            <w:shd w:val="clear" w:color="auto" w:fill="auto"/>
            <w:noWrap/>
            <w:vAlign w:val="bottom"/>
          </w:tcPr>
          <w:p w14:paraId="32F628F6" w14:textId="77777777" w:rsidR="002542D4" w:rsidRPr="00FE4D4D" w:rsidRDefault="002542D4" w:rsidP="00AE1FD1">
            <w:pPr>
              <w:jc w:val="right"/>
              <w:rPr>
                <w:color w:val="000000"/>
                <w:sz w:val="23"/>
                <w:szCs w:val="23"/>
              </w:rPr>
            </w:pPr>
            <w:r>
              <w:rPr>
                <w:color w:val="000000"/>
                <w:sz w:val="23"/>
                <w:szCs w:val="23"/>
              </w:rPr>
              <w:t>28</w:t>
            </w:r>
          </w:p>
        </w:tc>
        <w:tc>
          <w:tcPr>
            <w:tcW w:w="942" w:type="dxa"/>
            <w:gridSpan w:val="2"/>
            <w:tcBorders>
              <w:top w:val="nil"/>
              <w:left w:val="nil"/>
              <w:bottom w:val="single" w:sz="4" w:space="0" w:color="auto"/>
              <w:right w:val="single" w:sz="4" w:space="0" w:color="auto"/>
            </w:tcBorders>
            <w:shd w:val="clear" w:color="auto" w:fill="auto"/>
            <w:noWrap/>
            <w:vAlign w:val="bottom"/>
          </w:tcPr>
          <w:p w14:paraId="288E4534" w14:textId="77777777" w:rsidR="002542D4" w:rsidRPr="00FE4D4D" w:rsidRDefault="002542D4" w:rsidP="00AE1FD1">
            <w:pPr>
              <w:jc w:val="right"/>
              <w:rPr>
                <w:color w:val="000000"/>
                <w:sz w:val="23"/>
                <w:szCs w:val="23"/>
              </w:rPr>
            </w:pPr>
            <w:r>
              <w:rPr>
                <w:color w:val="000000"/>
                <w:sz w:val="23"/>
                <w:szCs w:val="23"/>
              </w:rPr>
              <w:t>60</w:t>
            </w:r>
          </w:p>
        </w:tc>
        <w:tc>
          <w:tcPr>
            <w:tcW w:w="960" w:type="dxa"/>
            <w:gridSpan w:val="2"/>
            <w:tcBorders>
              <w:top w:val="nil"/>
              <w:left w:val="nil"/>
              <w:bottom w:val="single" w:sz="4" w:space="0" w:color="auto"/>
              <w:right w:val="single" w:sz="4" w:space="0" w:color="auto"/>
            </w:tcBorders>
            <w:shd w:val="clear" w:color="auto" w:fill="auto"/>
            <w:noWrap/>
            <w:vAlign w:val="bottom"/>
          </w:tcPr>
          <w:p w14:paraId="75019B94" w14:textId="77777777" w:rsidR="002542D4" w:rsidRPr="00FE4D4D" w:rsidRDefault="002542D4" w:rsidP="00AE1FD1">
            <w:pPr>
              <w:jc w:val="right"/>
              <w:rPr>
                <w:color w:val="000000"/>
                <w:sz w:val="23"/>
                <w:szCs w:val="23"/>
              </w:rPr>
            </w:pPr>
            <w:r>
              <w:rPr>
                <w:color w:val="000000"/>
                <w:sz w:val="23"/>
                <w:szCs w:val="23"/>
              </w:rPr>
              <w:t>84</w:t>
            </w:r>
          </w:p>
        </w:tc>
        <w:tc>
          <w:tcPr>
            <w:tcW w:w="978" w:type="dxa"/>
            <w:gridSpan w:val="2"/>
            <w:tcBorders>
              <w:top w:val="nil"/>
              <w:left w:val="nil"/>
              <w:bottom w:val="single" w:sz="4" w:space="0" w:color="auto"/>
              <w:right w:val="single" w:sz="4" w:space="0" w:color="auto"/>
            </w:tcBorders>
            <w:shd w:val="clear" w:color="auto" w:fill="auto"/>
            <w:noWrap/>
            <w:vAlign w:val="bottom"/>
          </w:tcPr>
          <w:p w14:paraId="59BA65BD" w14:textId="77777777" w:rsidR="002542D4" w:rsidRPr="00FE4D4D" w:rsidRDefault="002542D4" w:rsidP="00AE1FD1">
            <w:pPr>
              <w:jc w:val="right"/>
              <w:rPr>
                <w:color w:val="000000"/>
                <w:sz w:val="23"/>
                <w:szCs w:val="23"/>
              </w:rPr>
            </w:pPr>
            <w:r>
              <w:rPr>
                <w:color w:val="000000"/>
                <w:sz w:val="23"/>
                <w:szCs w:val="23"/>
              </w:rPr>
              <w:t>103</w:t>
            </w:r>
          </w:p>
        </w:tc>
        <w:tc>
          <w:tcPr>
            <w:tcW w:w="900" w:type="dxa"/>
            <w:tcBorders>
              <w:top w:val="nil"/>
              <w:left w:val="nil"/>
              <w:bottom w:val="single" w:sz="4" w:space="0" w:color="auto"/>
              <w:right w:val="single" w:sz="4" w:space="0" w:color="auto"/>
            </w:tcBorders>
            <w:shd w:val="clear" w:color="auto" w:fill="auto"/>
            <w:noWrap/>
            <w:vAlign w:val="bottom"/>
          </w:tcPr>
          <w:p w14:paraId="5EDDEFEE" w14:textId="77777777" w:rsidR="002542D4" w:rsidRPr="00FE4D4D" w:rsidRDefault="002542D4" w:rsidP="00AE1FD1">
            <w:pPr>
              <w:jc w:val="right"/>
              <w:rPr>
                <w:color w:val="000000"/>
                <w:sz w:val="23"/>
                <w:szCs w:val="23"/>
              </w:rPr>
            </w:pPr>
            <w:r>
              <w:rPr>
                <w:color w:val="000000"/>
                <w:sz w:val="23"/>
                <w:szCs w:val="23"/>
              </w:rPr>
              <w:t>117</w:t>
            </w:r>
          </w:p>
        </w:tc>
      </w:tr>
      <w:tr w:rsidR="002542D4" w:rsidRPr="00FE4D4D" w14:paraId="281E2A79" w14:textId="77777777" w:rsidTr="00AE1FD1">
        <w:trPr>
          <w:trHeight w:val="300"/>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58B8B77A" w14:textId="77777777" w:rsidR="002542D4" w:rsidRPr="00FE4D4D" w:rsidRDefault="002542D4" w:rsidP="00AE1FD1">
            <w:pPr>
              <w:rPr>
                <w:color w:val="000000"/>
                <w:sz w:val="23"/>
                <w:szCs w:val="23"/>
              </w:rPr>
            </w:pPr>
            <w:r w:rsidRPr="00FE4D4D">
              <w:rPr>
                <w:color w:val="000000"/>
                <w:sz w:val="23"/>
                <w:szCs w:val="23"/>
              </w:rPr>
              <w:t> </w:t>
            </w:r>
          </w:p>
        </w:tc>
        <w:tc>
          <w:tcPr>
            <w:tcW w:w="900" w:type="dxa"/>
            <w:tcBorders>
              <w:top w:val="nil"/>
              <w:left w:val="nil"/>
              <w:bottom w:val="single" w:sz="4" w:space="0" w:color="auto"/>
              <w:right w:val="single" w:sz="4" w:space="0" w:color="auto"/>
            </w:tcBorders>
            <w:shd w:val="clear" w:color="auto" w:fill="auto"/>
            <w:noWrap/>
            <w:vAlign w:val="bottom"/>
            <w:hideMark/>
          </w:tcPr>
          <w:p w14:paraId="4163A0FC" w14:textId="77777777" w:rsidR="002542D4" w:rsidRPr="00FE4D4D" w:rsidRDefault="002542D4" w:rsidP="00AE1FD1">
            <w:pPr>
              <w:jc w:val="right"/>
              <w:rPr>
                <w:color w:val="000000"/>
                <w:sz w:val="23"/>
                <w:szCs w:val="23"/>
              </w:rPr>
            </w:pPr>
            <w:r w:rsidRPr="00FE4D4D">
              <w:rPr>
                <w:color w:val="000000"/>
                <w:sz w:val="23"/>
                <w:szCs w:val="23"/>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623AFFA" w14:textId="77777777" w:rsidR="002542D4" w:rsidRPr="00FE4D4D" w:rsidRDefault="002542D4" w:rsidP="00AE1FD1">
            <w:pPr>
              <w:jc w:val="right"/>
              <w:rPr>
                <w:color w:val="000000"/>
                <w:sz w:val="23"/>
                <w:szCs w:val="23"/>
              </w:rPr>
            </w:pPr>
            <w:r w:rsidRPr="00FE4D4D">
              <w:rPr>
                <w:color w:val="000000"/>
                <w:sz w:val="23"/>
                <w:szCs w:val="23"/>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222C7C9" w14:textId="77777777" w:rsidR="002542D4" w:rsidRPr="00FE4D4D" w:rsidRDefault="002542D4" w:rsidP="00AE1FD1">
            <w:pPr>
              <w:jc w:val="right"/>
              <w:rPr>
                <w:color w:val="000000"/>
                <w:sz w:val="23"/>
                <w:szCs w:val="23"/>
              </w:rPr>
            </w:pPr>
            <w:r w:rsidRPr="00FE4D4D">
              <w:rPr>
                <w:color w:val="000000"/>
                <w:sz w:val="23"/>
                <w:szCs w:val="23"/>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14:paraId="4B574C2D" w14:textId="77777777" w:rsidR="002542D4" w:rsidRPr="00FE4D4D" w:rsidRDefault="002542D4" w:rsidP="00AE1FD1">
            <w:pPr>
              <w:jc w:val="right"/>
              <w:rPr>
                <w:color w:val="000000"/>
                <w:sz w:val="23"/>
                <w:szCs w:val="23"/>
              </w:rPr>
            </w:pPr>
            <w:r w:rsidRPr="00FE4D4D">
              <w:rPr>
                <w:color w:val="000000"/>
                <w:sz w:val="23"/>
                <w:szCs w:val="23"/>
              </w:rPr>
              <w:t> </w:t>
            </w:r>
          </w:p>
        </w:tc>
        <w:tc>
          <w:tcPr>
            <w:tcW w:w="900" w:type="dxa"/>
            <w:tcBorders>
              <w:top w:val="nil"/>
              <w:left w:val="nil"/>
              <w:bottom w:val="single" w:sz="4" w:space="0" w:color="auto"/>
              <w:right w:val="single" w:sz="4" w:space="0" w:color="auto"/>
            </w:tcBorders>
            <w:shd w:val="clear" w:color="auto" w:fill="auto"/>
            <w:noWrap/>
            <w:vAlign w:val="bottom"/>
            <w:hideMark/>
          </w:tcPr>
          <w:p w14:paraId="6F12323C" w14:textId="77777777" w:rsidR="002542D4" w:rsidRPr="00FE4D4D" w:rsidRDefault="002542D4" w:rsidP="00AE1FD1">
            <w:pPr>
              <w:jc w:val="right"/>
              <w:rPr>
                <w:color w:val="000000"/>
                <w:sz w:val="23"/>
                <w:szCs w:val="23"/>
              </w:rPr>
            </w:pPr>
            <w:r w:rsidRPr="00FE4D4D">
              <w:rPr>
                <w:color w:val="000000"/>
                <w:sz w:val="23"/>
                <w:szCs w:val="23"/>
              </w:rPr>
              <w:t> </w:t>
            </w:r>
          </w:p>
        </w:tc>
      </w:tr>
      <w:tr w:rsidR="002542D4" w:rsidRPr="00FE4D4D" w14:paraId="1FC6BFDF" w14:textId="77777777" w:rsidTr="00AE1FD1">
        <w:trPr>
          <w:trHeight w:val="300"/>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28503568" w14:textId="77777777" w:rsidR="002542D4" w:rsidRPr="00FE4D4D" w:rsidRDefault="002542D4" w:rsidP="00AE1FD1">
            <w:pPr>
              <w:rPr>
                <w:color w:val="000000"/>
                <w:sz w:val="23"/>
                <w:szCs w:val="23"/>
              </w:rPr>
            </w:pPr>
            <w:r w:rsidRPr="00FE4D4D">
              <w:rPr>
                <w:color w:val="000000"/>
                <w:sz w:val="23"/>
                <w:szCs w:val="23"/>
              </w:rPr>
              <w:t>FTSE</w:t>
            </w:r>
          </w:p>
        </w:tc>
        <w:tc>
          <w:tcPr>
            <w:tcW w:w="900" w:type="dxa"/>
            <w:tcBorders>
              <w:top w:val="nil"/>
              <w:left w:val="nil"/>
              <w:bottom w:val="single" w:sz="4" w:space="0" w:color="auto"/>
              <w:right w:val="single" w:sz="4" w:space="0" w:color="auto"/>
            </w:tcBorders>
            <w:shd w:val="clear" w:color="auto" w:fill="auto"/>
            <w:noWrap/>
            <w:vAlign w:val="bottom"/>
          </w:tcPr>
          <w:p w14:paraId="281D9B44" w14:textId="77777777" w:rsidR="002542D4" w:rsidRPr="00FE4D4D" w:rsidRDefault="002542D4" w:rsidP="00AE1FD1">
            <w:pPr>
              <w:jc w:val="right"/>
              <w:rPr>
                <w:color w:val="000000"/>
                <w:sz w:val="23"/>
                <w:szCs w:val="23"/>
              </w:rPr>
            </w:pPr>
            <w:r>
              <w:rPr>
                <w:color w:val="000000"/>
                <w:sz w:val="23"/>
                <w:szCs w:val="23"/>
              </w:rPr>
              <w:t>18</w:t>
            </w:r>
          </w:p>
        </w:tc>
        <w:tc>
          <w:tcPr>
            <w:tcW w:w="942" w:type="dxa"/>
            <w:gridSpan w:val="2"/>
            <w:tcBorders>
              <w:top w:val="nil"/>
              <w:left w:val="nil"/>
              <w:bottom w:val="single" w:sz="4" w:space="0" w:color="auto"/>
              <w:right w:val="single" w:sz="4" w:space="0" w:color="auto"/>
            </w:tcBorders>
            <w:shd w:val="clear" w:color="auto" w:fill="auto"/>
            <w:noWrap/>
            <w:vAlign w:val="bottom"/>
          </w:tcPr>
          <w:p w14:paraId="12DA5A4B" w14:textId="77777777" w:rsidR="002542D4" w:rsidRPr="00FE4D4D" w:rsidRDefault="002542D4" w:rsidP="00AE1FD1">
            <w:pPr>
              <w:jc w:val="right"/>
              <w:rPr>
                <w:color w:val="000000"/>
                <w:sz w:val="23"/>
                <w:szCs w:val="23"/>
              </w:rPr>
            </w:pPr>
            <w:r>
              <w:rPr>
                <w:color w:val="000000"/>
                <w:sz w:val="23"/>
                <w:szCs w:val="23"/>
              </w:rPr>
              <w:t>44</w:t>
            </w:r>
          </w:p>
        </w:tc>
        <w:tc>
          <w:tcPr>
            <w:tcW w:w="960" w:type="dxa"/>
            <w:gridSpan w:val="2"/>
            <w:tcBorders>
              <w:top w:val="nil"/>
              <w:left w:val="nil"/>
              <w:bottom w:val="single" w:sz="4" w:space="0" w:color="auto"/>
              <w:right w:val="single" w:sz="4" w:space="0" w:color="auto"/>
            </w:tcBorders>
            <w:shd w:val="clear" w:color="auto" w:fill="auto"/>
            <w:noWrap/>
            <w:vAlign w:val="bottom"/>
          </w:tcPr>
          <w:p w14:paraId="5DC6B9E0" w14:textId="77777777" w:rsidR="002542D4" w:rsidRPr="00FE4D4D" w:rsidRDefault="002542D4" w:rsidP="00AE1FD1">
            <w:pPr>
              <w:jc w:val="right"/>
              <w:rPr>
                <w:color w:val="000000"/>
                <w:sz w:val="23"/>
                <w:szCs w:val="23"/>
              </w:rPr>
            </w:pPr>
            <w:r>
              <w:rPr>
                <w:color w:val="000000"/>
                <w:sz w:val="23"/>
                <w:szCs w:val="23"/>
              </w:rPr>
              <w:t>60</w:t>
            </w:r>
          </w:p>
        </w:tc>
        <w:tc>
          <w:tcPr>
            <w:tcW w:w="978" w:type="dxa"/>
            <w:gridSpan w:val="2"/>
            <w:tcBorders>
              <w:top w:val="nil"/>
              <w:left w:val="nil"/>
              <w:bottom w:val="single" w:sz="4" w:space="0" w:color="auto"/>
              <w:right w:val="single" w:sz="4" w:space="0" w:color="auto"/>
            </w:tcBorders>
            <w:shd w:val="clear" w:color="auto" w:fill="auto"/>
            <w:noWrap/>
            <w:vAlign w:val="bottom"/>
          </w:tcPr>
          <w:p w14:paraId="2BD59CEB" w14:textId="77777777" w:rsidR="002542D4" w:rsidRPr="00FE4D4D" w:rsidRDefault="002542D4" w:rsidP="00AE1FD1">
            <w:pPr>
              <w:jc w:val="right"/>
              <w:rPr>
                <w:color w:val="000000"/>
                <w:sz w:val="23"/>
                <w:szCs w:val="23"/>
              </w:rPr>
            </w:pPr>
            <w:r>
              <w:rPr>
                <w:color w:val="000000"/>
                <w:sz w:val="23"/>
                <w:szCs w:val="23"/>
              </w:rPr>
              <w:t>72</w:t>
            </w:r>
          </w:p>
        </w:tc>
        <w:tc>
          <w:tcPr>
            <w:tcW w:w="900" w:type="dxa"/>
            <w:tcBorders>
              <w:top w:val="nil"/>
              <w:left w:val="nil"/>
              <w:bottom w:val="single" w:sz="4" w:space="0" w:color="auto"/>
              <w:right w:val="single" w:sz="4" w:space="0" w:color="auto"/>
            </w:tcBorders>
            <w:shd w:val="clear" w:color="auto" w:fill="auto"/>
            <w:noWrap/>
            <w:vAlign w:val="bottom"/>
          </w:tcPr>
          <w:p w14:paraId="3CF1B558" w14:textId="77777777" w:rsidR="002542D4" w:rsidRPr="00FE4D4D" w:rsidRDefault="002542D4" w:rsidP="00AE1FD1">
            <w:pPr>
              <w:jc w:val="right"/>
              <w:rPr>
                <w:color w:val="000000"/>
                <w:sz w:val="23"/>
                <w:szCs w:val="23"/>
              </w:rPr>
            </w:pPr>
            <w:r>
              <w:rPr>
                <w:color w:val="000000"/>
                <w:sz w:val="23"/>
                <w:szCs w:val="23"/>
              </w:rPr>
              <w:t>80</w:t>
            </w:r>
          </w:p>
        </w:tc>
      </w:tr>
      <w:tr w:rsidR="002542D4" w:rsidRPr="00FE4D4D" w14:paraId="0D64129E" w14:textId="77777777" w:rsidTr="00AE1FD1">
        <w:trPr>
          <w:trHeight w:val="300"/>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26BB8BC1" w14:textId="77777777" w:rsidR="002542D4" w:rsidRPr="00FE4D4D" w:rsidRDefault="002542D4" w:rsidP="00AE1FD1">
            <w:pPr>
              <w:rPr>
                <w:color w:val="000000"/>
                <w:sz w:val="23"/>
                <w:szCs w:val="23"/>
              </w:rPr>
            </w:pPr>
            <w:r w:rsidRPr="00FE4D4D">
              <w:rPr>
                <w:color w:val="000000"/>
                <w:sz w:val="23"/>
                <w:szCs w:val="23"/>
              </w:rPr>
              <w:t>Attrition Following Current Year</w:t>
            </w:r>
          </w:p>
        </w:tc>
        <w:tc>
          <w:tcPr>
            <w:tcW w:w="900" w:type="dxa"/>
            <w:tcBorders>
              <w:top w:val="nil"/>
              <w:left w:val="nil"/>
              <w:bottom w:val="single" w:sz="4" w:space="0" w:color="auto"/>
              <w:right w:val="single" w:sz="4" w:space="0" w:color="auto"/>
            </w:tcBorders>
            <w:shd w:val="clear" w:color="auto" w:fill="auto"/>
            <w:noWrap/>
            <w:vAlign w:val="bottom"/>
            <w:hideMark/>
          </w:tcPr>
          <w:p w14:paraId="03ED385E" w14:textId="77777777" w:rsidR="002542D4" w:rsidRPr="00FE4D4D" w:rsidRDefault="002542D4" w:rsidP="00AE1FD1">
            <w:pPr>
              <w:jc w:val="right"/>
              <w:rPr>
                <w:color w:val="000000"/>
                <w:sz w:val="23"/>
                <w:szCs w:val="23"/>
              </w:rPr>
            </w:pPr>
            <w:r w:rsidRPr="00FE4D4D">
              <w:rPr>
                <w:color w:val="000000"/>
                <w:sz w:val="23"/>
                <w:szCs w:val="23"/>
              </w:rPr>
              <w:t xml:space="preserve">0 </w:t>
            </w:r>
          </w:p>
        </w:tc>
        <w:tc>
          <w:tcPr>
            <w:tcW w:w="942" w:type="dxa"/>
            <w:gridSpan w:val="2"/>
            <w:tcBorders>
              <w:top w:val="nil"/>
              <w:left w:val="nil"/>
              <w:bottom w:val="single" w:sz="4" w:space="0" w:color="auto"/>
              <w:right w:val="single" w:sz="4" w:space="0" w:color="auto"/>
            </w:tcBorders>
            <w:shd w:val="clear" w:color="auto" w:fill="auto"/>
            <w:noWrap/>
            <w:vAlign w:val="bottom"/>
          </w:tcPr>
          <w:p w14:paraId="3E982C0A" w14:textId="77777777" w:rsidR="002542D4" w:rsidRPr="00FE4D4D" w:rsidRDefault="002542D4" w:rsidP="00AE1FD1">
            <w:pPr>
              <w:jc w:val="right"/>
              <w:rPr>
                <w:color w:val="000000"/>
                <w:sz w:val="23"/>
                <w:szCs w:val="23"/>
              </w:rPr>
            </w:pPr>
            <w:r>
              <w:rPr>
                <w:color w:val="000000"/>
                <w:sz w:val="23"/>
                <w:szCs w:val="23"/>
              </w:rPr>
              <w:t>2</w:t>
            </w:r>
          </w:p>
        </w:tc>
        <w:tc>
          <w:tcPr>
            <w:tcW w:w="960" w:type="dxa"/>
            <w:gridSpan w:val="2"/>
            <w:tcBorders>
              <w:top w:val="nil"/>
              <w:left w:val="nil"/>
              <w:bottom w:val="single" w:sz="4" w:space="0" w:color="auto"/>
              <w:right w:val="single" w:sz="4" w:space="0" w:color="auto"/>
            </w:tcBorders>
            <w:shd w:val="clear" w:color="auto" w:fill="auto"/>
            <w:noWrap/>
            <w:vAlign w:val="bottom"/>
          </w:tcPr>
          <w:p w14:paraId="6EDE56D1" w14:textId="77777777" w:rsidR="002542D4" w:rsidRPr="00FE4D4D" w:rsidRDefault="002542D4" w:rsidP="00AE1FD1">
            <w:pPr>
              <w:jc w:val="right"/>
              <w:rPr>
                <w:color w:val="000000"/>
                <w:sz w:val="23"/>
                <w:szCs w:val="23"/>
              </w:rPr>
            </w:pPr>
            <w:r>
              <w:rPr>
                <w:color w:val="000000"/>
                <w:sz w:val="23"/>
                <w:szCs w:val="23"/>
              </w:rPr>
              <w:t>1</w:t>
            </w:r>
          </w:p>
        </w:tc>
        <w:tc>
          <w:tcPr>
            <w:tcW w:w="978" w:type="dxa"/>
            <w:gridSpan w:val="2"/>
            <w:tcBorders>
              <w:top w:val="nil"/>
              <w:left w:val="nil"/>
              <w:bottom w:val="single" w:sz="4" w:space="0" w:color="auto"/>
              <w:right w:val="single" w:sz="4" w:space="0" w:color="auto"/>
            </w:tcBorders>
            <w:shd w:val="clear" w:color="auto" w:fill="auto"/>
            <w:noWrap/>
            <w:vAlign w:val="bottom"/>
          </w:tcPr>
          <w:p w14:paraId="62B5924D" w14:textId="77777777" w:rsidR="002542D4" w:rsidRPr="00FE4D4D" w:rsidRDefault="002542D4" w:rsidP="00AE1FD1">
            <w:pPr>
              <w:jc w:val="right"/>
              <w:rPr>
                <w:color w:val="000000"/>
                <w:sz w:val="23"/>
                <w:szCs w:val="23"/>
              </w:rPr>
            </w:pPr>
            <w:r>
              <w:rPr>
                <w:color w:val="000000"/>
                <w:sz w:val="23"/>
                <w:szCs w:val="23"/>
              </w:rPr>
              <w:t>2</w:t>
            </w:r>
          </w:p>
        </w:tc>
        <w:tc>
          <w:tcPr>
            <w:tcW w:w="900" w:type="dxa"/>
            <w:tcBorders>
              <w:top w:val="nil"/>
              <w:left w:val="nil"/>
              <w:bottom w:val="single" w:sz="4" w:space="0" w:color="auto"/>
              <w:right w:val="single" w:sz="4" w:space="0" w:color="auto"/>
            </w:tcBorders>
            <w:shd w:val="clear" w:color="auto" w:fill="auto"/>
            <w:noWrap/>
            <w:vAlign w:val="bottom"/>
          </w:tcPr>
          <w:p w14:paraId="6ABA6FE8" w14:textId="77777777" w:rsidR="002542D4" w:rsidRPr="00FE4D4D" w:rsidRDefault="002542D4" w:rsidP="00AE1FD1">
            <w:pPr>
              <w:jc w:val="right"/>
              <w:rPr>
                <w:color w:val="000000"/>
                <w:sz w:val="23"/>
                <w:szCs w:val="23"/>
              </w:rPr>
            </w:pPr>
            <w:r>
              <w:rPr>
                <w:color w:val="000000"/>
                <w:sz w:val="23"/>
                <w:szCs w:val="23"/>
              </w:rPr>
              <w:t>2</w:t>
            </w:r>
          </w:p>
        </w:tc>
      </w:tr>
      <w:tr w:rsidR="002542D4" w:rsidRPr="00FE4D4D" w14:paraId="616D5672" w14:textId="77777777" w:rsidTr="00AE1FD1">
        <w:trPr>
          <w:trHeight w:val="300"/>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532AEA20" w14:textId="77777777" w:rsidR="002542D4" w:rsidRPr="00FE4D4D" w:rsidRDefault="002542D4" w:rsidP="00AE1FD1">
            <w:pPr>
              <w:rPr>
                <w:color w:val="000000"/>
                <w:sz w:val="23"/>
                <w:szCs w:val="23"/>
              </w:rPr>
            </w:pPr>
            <w:r w:rsidRPr="00FE4D4D">
              <w:rPr>
                <w:color w:val="000000"/>
                <w:sz w:val="23"/>
                <w:szCs w:val="23"/>
              </w:rPr>
              <w:t>Graduates During Current Year</w:t>
            </w:r>
          </w:p>
        </w:tc>
        <w:tc>
          <w:tcPr>
            <w:tcW w:w="900" w:type="dxa"/>
            <w:tcBorders>
              <w:top w:val="nil"/>
              <w:left w:val="nil"/>
              <w:bottom w:val="single" w:sz="4" w:space="0" w:color="auto"/>
              <w:right w:val="single" w:sz="4" w:space="0" w:color="auto"/>
            </w:tcBorders>
            <w:shd w:val="clear" w:color="auto" w:fill="auto"/>
            <w:noWrap/>
            <w:vAlign w:val="bottom"/>
            <w:hideMark/>
          </w:tcPr>
          <w:p w14:paraId="3064A657" w14:textId="77777777" w:rsidR="002542D4" w:rsidRPr="00FE4D4D" w:rsidRDefault="002542D4" w:rsidP="00AE1FD1">
            <w:pPr>
              <w:jc w:val="right"/>
              <w:rPr>
                <w:color w:val="000000"/>
                <w:sz w:val="23"/>
                <w:szCs w:val="23"/>
              </w:rPr>
            </w:pPr>
            <w:r w:rsidRPr="00FE4D4D">
              <w:rPr>
                <w:color w:val="000000"/>
                <w:sz w:val="23"/>
                <w:szCs w:val="23"/>
              </w:rPr>
              <w:t> </w:t>
            </w:r>
          </w:p>
        </w:tc>
        <w:tc>
          <w:tcPr>
            <w:tcW w:w="942" w:type="dxa"/>
            <w:gridSpan w:val="2"/>
            <w:tcBorders>
              <w:top w:val="nil"/>
              <w:left w:val="nil"/>
              <w:bottom w:val="single" w:sz="4" w:space="0" w:color="auto"/>
              <w:right w:val="single" w:sz="4" w:space="0" w:color="auto"/>
            </w:tcBorders>
            <w:shd w:val="clear" w:color="auto" w:fill="auto"/>
            <w:noWrap/>
            <w:vAlign w:val="bottom"/>
          </w:tcPr>
          <w:p w14:paraId="204E33D8" w14:textId="77777777" w:rsidR="002542D4" w:rsidRPr="00FE4D4D" w:rsidRDefault="002542D4" w:rsidP="00AE1FD1">
            <w:pPr>
              <w:jc w:val="right"/>
              <w:rPr>
                <w:color w:val="000000"/>
                <w:sz w:val="23"/>
                <w:szCs w:val="23"/>
              </w:rPr>
            </w:pPr>
            <w:r>
              <w:rPr>
                <w:color w:val="000000"/>
                <w:sz w:val="23"/>
                <w:szCs w:val="23"/>
              </w:rPr>
              <w:t>10</w:t>
            </w:r>
          </w:p>
        </w:tc>
        <w:tc>
          <w:tcPr>
            <w:tcW w:w="960" w:type="dxa"/>
            <w:gridSpan w:val="2"/>
            <w:tcBorders>
              <w:top w:val="nil"/>
              <w:left w:val="nil"/>
              <w:bottom w:val="single" w:sz="4" w:space="0" w:color="auto"/>
              <w:right w:val="single" w:sz="4" w:space="0" w:color="auto"/>
            </w:tcBorders>
            <w:shd w:val="clear" w:color="auto" w:fill="auto"/>
            <w:noWrap/>
            <w:vAlign w:val="bottom"/>
          </w:tcPr>
          <w:p w14:paraId="7327AFF2" w14:textId="77777777" w:rsidR="002542D4" w:rsidRPr="00FE4D4D" w:rsidRDefault="002542D4" w:rsidP="00AE1FD1">
            <w:pPr>
              <w:jc w:val="right"/>
              <w:rPr>
                <w:color w:val="000000"/>
                <w:sz w:val="23"/>
                <w:szCs w:val="23"/>
              </w:rPr>
            </w:pPr>
            <w:r>
              <w:rPr>
                <w:color w:val="000000"/>
                <w:sz w:val="23"/>
                <w:szCs w:val="23"/>
              </w:rPr>
              <w:t>20</w:t>
            </w:r>
          </w:p>
        </w:tc>
        <w:tc>
          <w:tcPr>
            <w:tcW w:w="978" w:type="dxa"/>
            <w:gridSpan w:val="2"/>
            <w:tcBorders>
              <w:top w:val="nil"/>
              <w:left w:val="nil"/>
              <w:bottom w:val="single" w:sz="4" w:space="0" w:color="auto"/>
              <w:right w:val="single" w:sz="4" w:space="0" w:color="auto"/>
            </w:tcBorders>
            <w:shd w:val="clear" w:color="auto" w:fill="auto"/>
            <w:noWrap/>
            <w:vAlign w:val="bottom"/>
          </w:tcPr>
          <w:p w14:paraId="5495C5E2" w14:textId="77777777" w:rsidR="002542D4" w:rsidRPr="00FE4D4D" w:rsidRDefault="002542D4" w:rsidP="00AE1FD1">
            <w:pPr>
              <w:jc w:val="right"/>
              <w:rPr>
                <w:color w:val="000000"/>
                <w:sz w:val="23"/>
                <w:szCs w:val="23"/>
              </w:rPr>
            </w:pPr>
            <w:r>
              <w:rPr>
                <w:color w:val="000000"/>
                <w:sz w:val="23"/>
                <w:szCs w:val="23"/>
              </w:rPr>
              <w:t>29</w:t>
            </w:r>
          </w:p>
        </w:tc>
        <w:tc>
          <w:tcPr>
            <w:tcW w:w="900" w:type="dxa"/>
            <w:tcBorders>
              <w:top w:val="nil"/>
              <w:left w:val="nil"/>
              <w:bottom w:val="single" w:sz="4" w:space="0" w:color="auto"/>
              <w:right w:val="single" w:sz="4" w:space="0" w:color="auto"/>
            </w:tcBorders>
            <w:shd w:val="clear" w:color="auto" w:fill="auto"/>
            <w:noWrap/>
            <w:vAlign w:val="bottom"/>
          </w:tcPr>
          <w:p w14:paraId="10D54965" w14:textId="77777777" w:rsidR="002542D4" w:rsidRPr="00FE4D4D" w:rsidRDefault="002542D4" w:rsidP="00AE1FD1">
            <w:pPr>
              <w:jc w:val="right"/>
              <w:rPr>
                <w:color w:val="000000"/>
                <w:sz w:val="23"/>
                <w:szCs w:val="23"/>
              </w:rPr>
            </w:pPr>
            <w:r>
              <w:rPr>
                <w:color w:val="000000"/>
                <w:sz w:val="23"/>
                <w:szCs w:val="23"/>
              </w:rPr>
              <w:t>36</w:t>
            </w:r>
          </w:p>
        </w:tc>
      </w:tr>
    </w:tbl>
    <w:p w14:paraId="3A9A3A71" w14:textId="77777777" w:rsidR="002542D4" w:rsidRPr="00844E52" w:rsidRDefault="002542D4" w:rsidP="002542D4">
      <w:pPr>
        <w:rPr>
          <w:sz w:val="24"/>
          <w:szCs w:val="24"/>
        </w:rPr>
      </w:pPr>
    </w:p>
    <w:p w14:paraId="49C0D186" w14:textId="77777777" w:rsidR="002542D4" w:rsidRDefault="002542D4" w:rsidP="002542D4">
      <w:pPr>
        <w:numPr>
          <w:ilvl w:val="0"/>
          <w:numId w:val="2"/>
        </w:numPr>
        <w:rPr>
          <w:b/>
          <w:sz w:val="24"/>
          <w:szCs w:val="24"/>
        </w:rPr>
      </w:pPr>
      <w:r w:rsidRPr="00844E52">
        <w:rPr>
          <w:b/>
          <w:sz w:val="24"/>
          <w:szCs w:val="24"/>
        </w:rPr>
        <w:t>Existing State Programs</w:t>
      </w:r>
    </w:p>
    <w:p w14:paraId="0532DEAB" w14:textId="77777777" w:rsidR="002542D4" w:rsidRPr="00FE4D4D" w:rsidRDefault="002542D4" w:rsidP="002542D4">
      <w:pPr>
        <w:ind w:left="720"/>
        <w:rPr>
          <w:b/>
          <w:sz w:val="23"/>
          <w:szCs w:val="23"/>
        </w:rPr>
      </w:pPr>
    </w:p>
    <w:p w14:paraId="0B95098F" w14:textId="77777777" w:rsidR="002542D4" w:rsidRPr="00FE4D4D" w:rsidRDefault="002542D4" w:rsidP="002542D4">
      <w:pPr>
        <w:ind w:left="720"/>
        <w:jc w:val="both"/>
        <w:rPr>
          <w:color w:val="FF0000"/>
          <w:sz w:val="23"/>
          <w:szCs w:val="23"/>
        </w:rPr>
      </w:pPr>
      <w:r w:rsidRPr="00FE4D4D">
        <w:rPr>
          <w:sz w:val="23"/>
          <w:szCs w:val="23"/>
        </w:rPr>
        <w:t xml:space="preserve">Currently, there are </w:t>
      </w:r>
      <w:r>
        <w:rPr>
          <w:sz w:val="23"/>
          <w:szCs w:val="23"/>
        </w:rPr>
        <w:t>four</w:t>
      </w:r>
      <w:r w:rsidRPr="00FE4D4D">
        <w:rPr>
          <w:sz w:val="23"/>
          <w:szCs w:val="23"/>
        </w:rPr>
        <w:t xml:space="preserve"> </w:t>
      </w:r>
      <w:r>
        <w:rPr>
          <w:sz w:val="23"/>
          <w:szCs w:val="23"/>
        </w:rPr>
        <w:t>p</w:t>
      </w:r>
      <w:r w:rsidRPr="00FE4D4D">
        <w:rPr>
          <w:sz w:val="23"/>
          <w:szCs w:val="23"/>
        </w:rPr>
        <w:t xml:space="preserve">ublic </w:t>
      </w:r>
      <w:r>
        <w:rPr>
          <w:sz w:val="23"/>
          <w:szCs w:val="23"/>
        </w:rPr>
        <w:t>u</w:t>
      </w:r>
      <w:r w:rsidRPr="00FE4D4D">
        <w:rPr>
          <w:sz w:val="23"/>
          <w:szCs w:val="23"/>
        </w:rPr>
        <w:t>niversities in Texas offering similar program</w:t>
      </w:r>
      <w:r>
        <w:rPr>
          <w:sz w:val="23"/>
          <w:szCs w:val="23"/>
        </w:rPr>
        <w:t>s</w:t>
      </w:r>
      <w:r w:rsidRPr="00FE4D4D">
        <w:rPr>
          <w:sz w:val="23"/>
          <w:szCs w:val="23"/>
        </w:rPr>
        <w:t xml:space="preserve"> (CIP 15.0805.00)</w:t>
      </w:r>
      <w:r>
        <w:rPr>
          <w:sz w:val="23"/>
          <w:szCs w:val="23"/>
        </w:rPr>
        <w:t>:</w:t>
      </w:r>
      <w:r w:rsidRPr="00FE4D4D">
        <w:rPr>
          <w:sz w:val="23"/>
          <w:szCs w:val="23"/>
        </w:rPr>
        <w:t xml:space="preserve"> Texas A&amp;M</w:t>
      </w:r>
      <w:r>
        <w:rPr>
          <w:sz w:val="23"/>
          <w:szCs w:val="23"/>
        </w:rPr>
        <w:t xml:space="preserve"> University</w:t>
      </w:r>
      <w:r w:rsidRPr="00FE4D4D">
        <w:rPr>
          <w:sz w:val="23"/>
          <w:szCs w:val="23"/>
        </w:rPr>
        <w:t xml:space="preserve">-Corpus Christi, University of Houston, University of North Texas, and Tarleton State University. </w:t>
      </w:r>
      <w:r>
        <w:rPr>
          <w:sz w:val="23"/>
          <w:szCs w:val="23"/>
        </w:rPr>
        <w:t xml:space="preserve">No institutions </w:t>
      </w:r>
      <w:r w:rsidRPr="00FE4D4D">
        <w:rPr>
          <w:sz w:val="23"/>
          <w:szCs w:val="23"/>
        </w:rPr>
        <w:t>in Bell County or adjacent counties</w:t>
      </w:r>
      <w:r>
        <w:rPr>
          <w:sz w:val="23"/>
          <w:szCs w:val="23"/>
        </w:rPr>
        <w:t xml:space="preserve"> offer a similar program</w:t>
      </w:r>
      <w:r w:rsidRPr="00FE4D4D">
        <w:rPr>
          <w:sz w:val="23"/>
          <w:szCs w:val="23"/>
        </w:rPr>
        <w:t xml:space="preserve">. </w:t>
      </w:r>
    </w:p>
    <w:p w14:paraId="6F9C78B4" w14:textId="77777777" w:rsidR="002542D4" w:rsidRPr="00844E52" w:rsidRDefault="002542D4" w:rsidP="002542D4">
      <w:pPr>
        <w:rPr>
          <w:sz w:val="24"/>
          <w:szCs w:val="24"/>
        </w:rPr>
      </w:pPr>
    </w:p>
    <w:p w14:paraId="60CF95B6" w14:textId="77777777" w:rsidR="002542D4" w:rsidRDefault="002542D4" w:rsidP="002542D4">
      <w:pPr>
        <w:pStyle w:val="Heading1"/>
        <w:numPr>
          <w:ilvl w:val="0"/>
          <w:numId w:val="1"/>
        </w:numPr>
        <w:ind w:left="360" w:hanging="360"/>
        <w:rPr>
          <w:szCs w:val="24"/>
        </w:rPr>
      </w:pPr>
      <w:r w:rsidRPr="00844E52">
        <w:rPr>
          <w:szCs w:val="24"/>
        </w:rPr>
        <w:t>QUALITY &amp; RESOURCES</w:t>
      </w:r>
    </w:p>
    <w:p w14:paraId="16AF5EEE" w14:textId="77777777" w:rsidR="002542D4" w:rsidRPr="00844E52" w:rsidRDefault="002542D4" w:rsidP="002542D4">
      <w:pPr>
        <w:rPr>
          <w:sz w:val="24"/>
          <w:szCs w:val="24"/>
        </w:rPr>
      </w:pPr>
    </w:p>
    <w:p w14:paraId="60D994F2" w14:textId="74D7BE7C" w:rsidR="002542D4" w:rsidRDefault="002542D4" w:rsidP="002542D4">
      <w:pPr>
        <w:numPr>
          <w:ilvl w:val="0"/>
          <w:numId w:val="3"/>
        </w:numPr>
        <w:rPr>
          <w:b/>
          <w:sz w:val="24"/>
          <w:szCs w:val="24"/>
        </w:rPr>
      </w:pPr>
      <w:r>
        <w:rPr>
          <w:b/>
          <w:sz w:val="24"/>
          <w:szCs w:val="24"/>
        </w:rPr>
        <w:t>Faculty</w:t>
      </w:r>
    </w:p>
    <w:p w14:paraId="1633E281" w14:textId="77777777" w:rsidR="002542D4" w:rsidRDefault="002542D4" w:rsidP="002542D4">
      <w:pPr>
        <w:ind w:left="720"/>
        <w:rPr>
          <w:b/>
          <w:sz w:val="24"/>
          <w:szCs w:val="24"/>
        </w:rPr>
      </w:pPr>
    </w:p>
    <w:p w14:paraId="5F85397E" w14:textId="77777777" w:rsidR="002542D4" w:rsidRPr="00A93639" w:rsidRDefault="002542D4" w:rsidP="002542D4">
      <w:pPr>
        <w:ind w:left="720"/>
        <w:jc w:val="both"/>
        <w:rPr>
          <w:b/>
          <w:sz w:val="23"/>
          <w:szCs w:val="23"/>
        </w:rPr>
      </w:pPr>
      <w:r>
        <w:rPr>
          <w:sz w:val="23"/>
          <w:szCs w:val="23"/>
        </w:rPr>
        <w:t xml:space="preserve">One current faculty member will dedicate full-time and another part-time to the program.  One new faculty member will be hired prior to the second year of the program and another by the third year.  </w:t>
      </w:r>
    </w:p>
    <w:p w14:paraId="14FB6D52" w14:textId="77777777" w:rsidR="002542D4" w:rsidRPr="00A93639" w:rsidRDefault="002542D4" w:rsidP="002542D4">
      <w:pPr>
        <w:jc w:val="both"/>
        <w:rPr>
          <w:sz w:val="23"/>
          <w:szCs w:val="23"/>
        </w:rPr>
      </w:pPr>
    </w:p>
    <w:p w14:paraId="0C9D8E67" w14:textId="77777777" w:rsidR="002542D4" w:rsidRDefault="002542D4" w:rsidP="002542D4">
      <w:pPr>
        <w:numPr>
          <w:ilvl w:val="0"/>
          <w:numId w:val="3"/>
        </w:numPr>
        <w:rPr>
          <w:b/>
          <w:sz w:val="24"/>
          <w:szCs w:val="24"/>
        </w:rPr>
      </w:pPr>
      <w:r w:rsidRPr="00844E52">
        <w:rPr>
          <w:b/>
          <w:sz w:val="24"/>
          <w:szCs w:val="24"/>
        </w:rPr>
        <w:t>Program Administration</w:t>
      </w:r>
    </w:p>
    <w:p w14:paraId="136CADF5" w14:textId="77777777" w:rsidR="002542D4" w:rsidRDefault="002542D4" w:rsidP="002542D4">
      <w:pPr>
        <w:ind w:left="720"/>
        <w:rPr>
          <w:b/>
          <w:sz w:val="24"/>
          <w:szCs w:val="24"/>
        </w:rPr>
      </w:pPr>
    </w:p>
    <w:p w14:paraId="4B5A4DBF" w14:textId="77777777" w:rsidR="002542D4" w:rsidRPr="00A93639" w:rsidRDefault="002542D4" w:rsidP="002542D4">
      <w:pPr>
        <w:ind w:left="720"/>
        <w:jc w:val="both"/>
        <w:rPr>
          <w:sz w:val="24"/>
          <w:szCs w:val="24"/>
        </w:rPr>
      </w:pPr>
      <w:r>
        <w:rPr>
          <w:sz w:val="24"/>
          <w:szCs w:val="24"/>
        </w:rPr>
        <w:t>The B.S. in M.E.T. will be administered in the Department of Sciences and Mathematics within the College of Arts and Sciences with no additional administrative costs anticipated.</w:t>
      </w:r>
    </w:p>
    <w:p w14:paraId="626565A3" w14:textId="77777777" w:rsidR="002542D4" w:rsidRDefault="002542D4" w:rsidP="002542D4">
      <w:pPr>
        <w:rPr>
          <w:b/>
          <w:sz w:val="24"/>
          <w:szCs w:val="24"/>
        </w:rPr>
      </w:pPr>
    </w:p>
    <w:p w14:paraId="66F90278" w14:textId="77777777" w:rsidR="002542D4" w:rsidRPr="003C326B" w:rsidRDefault="002542D4" w:rsidP="002542D4">
      <w:pPr>
        <w:numPr>
          <w:ilvl w:val="0"/>
          <w:numId w:val="3"/>
        </w:numPr>
        <w:rPr>
          <w:sz w:val="24"/>
          <w:szCs w:val="24"/>
        </w:rPr>
      </w:pPr>
      <w:r w:rsidRPr="00844E52">
        <w:rPr>
          <w:b/>
          <w:sz w:val="24"/>
          <w:szCs w:val="24"/>
        </w:rPr>
        <w:lastRenderedPageBreak/>
        <w:t>Other Personnel</w:t>
      </w:r>
    </w:p>
    <w:p w14:paraId="79E090C7" w14:textId="77777777" w:rsidR="002542D4" w:rsidRPr="00C52F7D" w:rsidRDefault="002542D4" w:rsidP="002542D4">
      <w:pPr>
        <w:ind w:left="720"/>
      </w:pPr>
    </w:p>
    <w:p w14:paraId="371F24AB" w14:textId="77777777" w:rsidR="002542D4" w:rsidRPr="00A93639" w:rsidRDefault="002542D4" w:rsidP="002542D4">
      <w:pPr>
        <w:ind w:left="720"/>
        <w:jc w:val="both"/>
        <w:rPr>
          <w:sz w:val="24"/>
          <w:szCs w:val="24"/>
        </w:rPr>
      </w:pPr>
      <w:r>
        <w:rPr>
          <w:sz w:val="24"/>
          <w:szCs w:val="24"/>
        </w:rPr>
        <w:t>At least one graduate assistant will be required to help faculty with laboratory projects and other classroom administrative needs.</w:t>
      </w:r>
    </w:p>
    <w:p w14:paraId="40CE900F" w14:textId="77777777" w:rsidR="002542D4" w:rsidRPr="00C52F7D" w:rsidRDefault="002542D4" w:rsidP="002542D4"/>
    <w:p w14:paraId="4F79646B" w14:textId="77777777" w:rsidR="002542D4" w:rsidRDefault="002542D4" w:rsidP="002542D4">
      <w:pPr>
        <w:numPr>
          <w:ilvl w:val="0"/>
          <w:numId w:val="3"/>
        </w:numPr>
        <w:rPr>
          <w:b/>
          <w:sz w:val="24"/>
          <w:szCs w:val="24"/>
        </w:rPr>
      </w:pPr>
      <w:r w:rsidRPr="00844E52">
        <w:rPr>
          <w:b/>
          <w:sz w:val="24"/>
          <w:szCs w:val="24"/>
        </w:rPr>
        <w:t>Supplies, Materials</w:t>
      </w:r>
      <w:r w:rsidRPr="00844E52">
        <w:rPr>
          <w:b/>
          <w:sz w:val="24"/>
          <w:szCs w:val="24"/>
        </w:rPr>
        <w:tab/>
      </w:r>
    </w:p>
    <w:p w14:paraId="7F0E35F5" w14:textId="77777777" w:rsidR="002542D4" w:rsidRPr="00C52F7D" w:rsidRDefault="002542D4" w:rsidP="002542D4">
      <w:pPr>
        <w:ind w:left="720"/>
        <w:jc w:val="both"/>
      </w:pPr>
    </w:p>
    <w:p w14:paraId="5F38F715" w14:textId="77777777" w:rsidR="002542D4" w:rsidRDefault="002542D4" w:rsidP="002542D4">
      <w:pPr>
        <w:ind w:left="720"/>
        <w:jc w:val="both"/>
        <w:rPr>
          <w:sz w:val="24"/>
          <w:szCs w:val="24"/>
        </w:rPr>
      </w:pPr>
      <w:r>
        <w:rPr>
          <w:sz w:val="24"/>
          <w:szCs w:val="24"/>
        </w:rPr>
        <w:t xml:space="preserve">$15,000 has </w:t>
      </w:r>
      <w:r w:rsidRPr="001C1DCF">
        <w:rPr>
          <w:noProof/>
          <w:sz w:val="24"/>
          <w:szCs w:val="24"/>
        </w:rPr>
        <w:t>been allocated</w:t>
      </w:r>
      <w:r>
        <w:rPr>
          <w:sz w:val="24"/>
          <w:szCs w:val="24"/>
        </w:rPr>
        <w:t xml:space="preserve"> for </w:t>
      </w:r>
      <w:r w:rsidRPr="001C1DCF">
        <w:rPr>
          <w:noProof/>
          <w:sz w:val="24"/>
          <w:szCs w:val="24"/>
        </w:rPr>
        <w:t>unique</w:t>
      </w:r>
      <w:r>
        <w:rPr>
          <w:sz w:val="24"/>
          <w:szCs w:val="24"/>
        </w:rPr>
        <w:t xml:space="preserve"> supplies and laboratory item upkeep. The bulk of the cost for laboratory items has </w:t>
      </w:r>
      <w:r w:rsidRPr="001C1DCF">
        <w:rPr>
          <w:noProof/>
          <w:sz w:val="24"/>
          <w:szCs w:val="24"/>
        </w:rPr>
        <w:t>been allocated</w:t>
      </w:r>
      <w:r>
        <w:rPr>
          <w:sz w:val="24"/>
          <w:szCs w:val="24"/>
        </w:rPr>
        <w:t xml:space="preserve"> under equipment and facilities, and the upkeep and replacement of consumable items (</w:t>
      </w:r>
      <w:r w:rsidRPr="001C1DCF">
        <w:rPr>
          <w:noProof/>
          <w:sz w:val="24"/>
          <w:szCs w:val="24"/>
        </w:rPr>
        <w:t>i.e.</w:t>
      </w:r>
      <w:r>
        <w:rPr>
          <w:sz w:val="24"/>
          <w:szCs w:val="24"/>
        </w:rPr>
        <w:t xml:space="preserve"> tubing, flow meters, heating elements, </w:t>
      </w:r>
      <w:r w:rsidRPr="001C1DCF">
        <w:rPr>
          <w:noProof/>
          <w:sz w:val="24"/>
          <w:szCs w:val="24"/>
        </w:rPr>
        <w:t>etc</w:t>
      </w:r>
      <w:r>
        <w:rPr>
          <w:noProof/>
          <w:sz w:val="24"/>
          <w:szCs w:val="24"/>
        </w:rPr>
        <w:t>.</w:t>
      </w:r>
      <w:r>
        <w:rPr>
          <w:sz w:val="24"/>
          <w:szCs w:val="24"/>
        </w:rPr>
        <w:t xml:space="preserve">) </w:t>
      </w:r>
      <w:r w:rsidRPr="001C1DCF">
        <w:rPr>
          <w:noProof/>
          <w:sz w:val="24"/>
          <w:szCs w:val="24"/>
        </w:rPr>
        <w:t>has</w:t>
      </w:r>
      <w:r>
        <w:rPr>
          <w:sz w:val="24"/>
          <w:szCs w:val="24"/>
        </w:rPr>
        <w:t xml:space="preserve"> </w:t>
      </w:r>
      <w:r w:rsidRPr="001C1DCF">
        <w:rPr>
          <w:noProof/>
          <w:sz w:val="24"/>
          <w:szCs w:val="24"/>
        </w:rPr>
        <w:t>been allocated</w:t>
      </w:r>
      <w:r>
        <w:rPr>
          <w:sz w:val="24"/>
          <w:szCs w:val="24"/>
        </w:rPr>
        <w:t xml:space="preserve"> here.</w:t>
      </w:r>
    </w:p>
    <w:p w14:paraId="276BBCDE" w14:textId="77777777" w:rsidR="002542D4" w:rsidRPr="00C52F7D" w:rsidRDefault="002542D4" w:rsidP="002542D4">
      <w:pPr>
        <w:ind w:left="720"/>
      </w:pPr>
    </w:p>
    <w:p w14:paraId="6B395B20" w14:textId="77777777" w:rsidR="002542D4" w:rsidRDefault="002542D4" w:rsidP="002542D4">
      <w:pPr>
        <w:numPr>
          <w:ilvl w:val="0"/>
          <w:numId w:val="3"/>
        </w:numPr>
        <w:rPr>
          <w:b/>
          <w:sz w:val="24"/>
          <w:szCs w:val="24"/>
        </w:rPr>
      </w:pPr>
      <w:r w:rsidRPr="00844E52">
        <w:rPr>
          <w:b/>
          <w:sz w:val="24"/>
          <w:szCs w:val="24"/>
        </w:rPr>
        <w:t>Library</w:t>
      </w:r>
      <w:r>
        <w:rPr>
          <w:b/>
          <w:sz w:val="24"/>
          <w:szCs w:val="24"/>
        </w:rPr>
        <w:t xml:space="preserve"> </w:t>
      </w:r>
    </w:p>
    <w:p w14:paraId="1269C999" w14:textId="77777777" w:rsidR="002542D4" w:rsidRPr="00C52F7D" w:rsidRDefault="002542D4" w:rsidP="002542D4">
      <w:pPr>
        <w:ind w:left="720"/>
        <w:jc w:val="both"/>
      </w:pPr>
    </w:p>
    <w:p w14:paraId="7F67A681" w14:textId="77777777" w:rsidR="002542D4" w:rsidRPr="00DF23B5" w:rsidRDefault="002542D4" w:rsidP="002542D4">
      <w:pPr>
        <w:ind w:left="720"/>
        <w:jc w:val="both"/>
        <w:rPr>
          <w:sz w:val="24"/>
          <w:szCs w:val="24"/>
        </w:rPr>
      </w:pPr>
      <w:r>
        <w:rPr>
          <w:sz w:val="24"/>
          <w:szCs w:val="24"/>
        </w:rPr>
        <w:t>The library currently has access to an extensive range of engineering technology literature to support the university’s ongoing solar project. An additional $15,000 for material has been allocated in the first year to increase the library’s core holdings in the field, and $5,000 has been allocated each year thereafter to sustain the collection.</w:t>
      </w:r>
    </w:p>
    <w:p w14:paraId="466B9E58" w14:textId="77777777" w:rsidR="002542D4" w:rsidRPr="00C52F7D" w:rsidRDefault="002542D4" w:rsidP="002542D4"/>
    <w:p w14:paraId="29A67CFF" w14:textId="77777777" w:rsidR="002542D4" w:rsidRDefault="002542D4" w:rsidP="002542D4">
      <w:pPr>
        <w:numPr>
          <w:ilvl w:val="0"/>
          <w:numId w:val="3"/>
        </w:numPr>
        <w:rPr>
          <w:b/>
          <w:sz w:val="24"/>
          <w:szCs w:val="24"/>
        </w:rPr>
      </w:pPr>
      <w:r w:rsidRPr="001C1DCF">
        <w:rPr>
          <w:b/>
          <w:noProof/>
          <w:sz w:val="24"/>
          <w:szCs w:val="24"/>
        </w:rPr>
        <w:t>Equipment</w:t>
      </w:r>
      <w:r>
        <w:rPr>
          <w:b/>
          <w:noProof/>
          <w:sz w:val="24"/>
          <w:szCs w:val="24"/>
        </w:rPr>
        <w:t xml:space="preserve"> and</w:t>
      </w:r>
      <w:r w:rsidRPr="00844E52">
        <w:rPr>
          <w:b/>
          <w:sz w:val="24"/>
          <w:szCs w:val="24"/>
        </w:rPr>
        <w:t xml:space="preserve"> Facilities</w:t>
      </w:r>
    </w:p>
    <w:p w14:paraId="7316131B" w14:textId="77777777" w:rsidR="002542D4" w:rsidRPr="00C52F7D" w:rsidRDefault="002542D4" w:rsidP="002542D4">
      <w:pPr>
        <w:ind w:left="720"/>
        <w:jc w:val="both"/>
      </w:pPr>
    </w:p>
    <w:p w14:paraId="30E7F629" w14:textId="77777777" w:rsidR="002542D4" w:rsidRPr="00A93639" w:rsidRDefault="002542D4" w:rsidP="002542D4">
      <w:pPr>
        <w:ind w:left="720"/>
        <w:jc w:val="both"/>
        <w:rPr>
          <w:sz w:val="23"/>
          <w:szCs w:val="23"/>
        </w:rPr>
      </w:pPr>
      <w:r w:rsidRPr="00A93639">
        <w:rPr>
          <w:sz w:val="23"/>
          <w:szCs w:val="23"/>
        </w:rPr>
        <w:t>Courses w</w:t>
      </w:r>
      <w:r>
        <w:rPr>
          <w:sz w:val="23"/>
          <w:szCs w:val="23"/>
        </w:rPr>
        <w:t>ill</w:t>
      </w:r>
      <w:r w:rsidRPr="00A93639">
        <w:rPr>
          <w:sz w:val="23"/>
          <w:szCs w:val="23"/>
        </w:rPr>
        <w:t xml:space="preserve"> utilize current classrooms and laboratories. </w:t>
      </w:r>
      <w:r>
        <w:rPr>
          <w:sz w:val="23"/>
          <w:szCs w:val="23"/>
        </w:rPr>
        <w:t>Additionally, o</w:t>
      </w:r>
      <w:r w:rsidRPr="00A93639">
        <w:rPr>
          <w:sz w:val="23"/>
          <w:szCs w:val="23"/>
        </w:rPr>
        <w:t>ne lab</w:t>
      </w:r>
      <w:r>
        <w:rPr>
          <w:sz w:val="23"/>
          <w:szCs w:val="23"/>
        </w:rPr>
        <w:t>oratory</w:t>
      </w:r>
      <w:r w:rsidRPr="00A93639">
        <w:rPr>
          <w:sz w:val="23"/>
          <w:szCs w:val="23"/>
        </w:rPr>
        <w:t xml:space="preserve"> in Heritage Hall </w:t>
      </w:r>
      <w:r>
        <w:rPr>
          <w:noProof/>
          <w:sz w:val="23"/>
          <w:szCs w:val="23"/>
        </w:rPr>
        <w:t>will be</w:t>
      </w:r>
      <w:r w:rsidRPr="001C1DCF">
        <w:rPr>
          <w:noProof/>
          <w:sz w:val="23"/>
          <w:szCs w:val="23"/>
        </w:rPr>
        <w:t xml:space="preserve"> outfitted</w:t>
      </w:r>
      <w:r w:rsidRPr="00A93639">
        <w:rPr>
          <w:sz w:val="23"/>
          <w:szCs w:val="23"/>
        </w:rPr>
        <w:t xml:space="preserve"> with the proper electrical requirements for program needs. </w:t>
      </w:r>
      <w:r>
        <w:rPr>
          <w:sz w:val="23"/>
          <w:szCs w:val="23"/>
        </w:rPr>
        <w:t xml:space="preserve">$80,000 has been allocated in the first three years for initial laboratory set-up. </w:t>
      </w:r>
    </w:p>
    <w:p w14:paraId="4DDB4668" w14:textId="77777777" w:rsidR="002542D4" w:rsidRPr="00C52F7D" w:rsidRDefault="002542D4" w:rsidP="002542D4">
      <w:pPr>
        <w:ind w:left="720"/>
        <w:jc w:val="both"/>
        <w:rPr>
          <w:b/>
        </w:rPr>
      </w:pPr>
    </w:p>
    <w:p w14:paraId="7028D081" w14:textId="77777777" w:rsidR="002542D4" w:rsidRDefault="002542D4" w:rsidP="002542D4">
      <w:pPr>
        <w:numPr>
          <w:ilvl w:val="0"/>
          <w:numId w:val="3"/>
        </w:numPr>
        <w:rPr>
          <w:sz w:val="24"/>
          <w:szCs w:val="24"/>
        </w:rPr>
      </w:pPr>
      <w:r w:rsidRPr="00844E52">
        <w:rPr>
          <w:b/>
          <w:sz w:val="24"/>
          <w:szCs w:val="24"/>
        </w:rPr>
        <w:t>Accreditation</w:t>
      </w:r>
    </w:p>
    <w:p w14:paraId="68D3E510" w14:textId="77777777" w:rsidR="002542D4" w:rsidRPr="00C52F7D" w:rsidRDefault="002542D4" w:rsidP="002542D4">
      <w:pPr>
        <w:ind w:left="720"/>
      </w:pPr>
    </w:p>
    <w:p w14:paraId="24078EED" w14:textId="77777777" w:rsidR="002542D4" w:rsidRPr="00F35CA0" w:rsidRDefault="002542D4" w:rsidP="002542D4">
      <w:pPr>
        <w:ind w:left="720"/>
        <w:jc w:val="both"/>
        <w:rPr>
          <w:sz w:val="23"/>
          <w:szCs w:val="23"/>
        </w:rPr>
      </w:pPr>
      <w:r w:rsidRPr="00F35CA0">
        <w:rPr>
          <w:sz w:val="23"/>
          <w:szCs w:val="23"/>
        </w:rPr>
        <w:t>Faculty inten</w:t>
      </w:r>
      <w:r>
        <w:rPr>
          <w:sz w:val="23"/>
          <w:szCs w:val="23"/>
        </w:rPr>
        <w:t>d</w:t>
      </w:r>
      <w:r w:rsidRPr="00F35CA0">
        <w:rPr>
          <w:sz w:val="23"/>
          <w:szCs w:val="23"/>
        </w:rPr>
        <w:t xml:space="preserve"> to </w:t>
      </w:r>
      <w:r>
        <w:rPr>
          <w:sz w:val="23"/>
          <w:szCs w:val="23"/>
        </w:rPr>
        <w:t xml:space="preserve">apply for </w:t>
      </w:r>
      <w:r w:rsidRPr="00F35CA0">
        <w:rPr>
          <w:sz w:val="23"/>
          <w:szCs w:val="23"/>
        </w:rPr>
        <w:t xml:space="preserve">national accreditation </w:t>
      </w:r>
      <w:r>
        <w:rPr>
          <w:sz w:val="23"/>
          <w:szCs w:val="23"/>
        </w:rPr>
        <w:t xml:space="preserve">through ABET following the first </w:t>
      </w:r>
      <w:r w:rsidRPr="001C1DCF">
        <w:rPr>
          <w:noProof/>
          <w:sz w:val="23"/>
          <w:szCs w:val="23"/>
        </w:rPr>
        <w:t>five</w:t>
      </w:r>
      <w:r>
        <w:rPr>
          <w:noProof/>
          <w:sz w:val="23"/>
          <w:szCs w:val="23"/>
        </w:rPr>
        <w:t>-</w:t>
      </w:r>
      <w:r w:rsidRPr="001C1DCF">
        <w:rPr>
          <w:noProof/>
          <w:sz w:val="23"/>
          <w:szCs w:val="23"/>
        </w:rPr>
        <w:t>year</w:t>
      </w:r>
      <w:r>
        <w:rPr>
          <w:sz w:val="23"/>
          <w:szCs w:val="23"/>
        </w:rPr>
        <w:t xml:space="preserve"> academic program review</w:t>
      </w:r>
      <w:r w:rsidRPr="00F35CA0">
        <w:rPr>
          <w:sz w:val="23"/>
          <w:szCs w:val="23"/>
        </w:rPr>
        <w:t>.</w:t>
      </w:r>
    </w:p>
    <w:p w14:paraId="5102D417" w14:textId="77777777" w:rsidR="002542D4" w:rsidRPr="00C52F7D" w:rsidRDefault="002542D4" w:rsidP="002542D4">
      <w:pPr>
        <w:jc w:val="center"/>
        <w:rPr>
          <w:b/>
        </w:rPr>
      </w:pPr>
    </w:p>
    <w:p w14:paraId="748F66D2" w14:textId="77777777" w:rsidR="002542D4" w:rsidRPr="00C52F7D" w:rsidRDefault="002542D4" w:rsidP="002542D4">
      <w:pPr>
        <w:numPr>
          <w:ilvl w:val="0"/>
          <w:numId w:val="1"/>
        </w:numPr>
        <w:ind w:left="360" w:hanging="360"/>
        <w:rPr>
          <w:b/>
          <w:sz w:val="16"/>
          <w:szCs w:val="16"/>
        </w:rPr>
      </w:pPr>
      <w:r>
        <w:rPr>
          <w:b/>
          <w:sz w:val="24"/>
          <w:szCs w:val="24"/>
        </w:rPr>
        <w:t xml:space="preserve">NEW FIVE-YEAR </w:t>
      </w:r>
      <w:r w:rsidRPr="00844E52">
        <w:rPr>
          <w:b/>
          <w:sz w:val="24"/>
          <w:szCs w:val="24"/>
        </w:rPr>
        <w:t>COSTS &amp; FUNDING SOURCES</w:t>
      </w:r>
      <w:r w:rsidRPr="00844E52">
        <w:rPr>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565"/>
        <w:gridCol w:w="1602"/>
        <w:gridCol w:w="1030"/>
        <w:gridCol w:w="2743"/>
        <w:gridCol w:w="1410"/>
      </w:tblGrid>
      <w:tr w:rsidR="002542D4" w:rsidRPr="001C1DCF" w14:paraId="1396F6F5" w14:textId="77777777" w:rsidTr="00AE1FD1">
        <w:trPr>
          <w:trHeight w:val="487"/>
        </w:trPr>
        <w:tc>
          <w:tcPr>
            <w:tcW w:w="4167" w:type="dxa"/>
            <w:gridSpan w:val="2"/>
            <w:shd w:val="clear" w:color="auto" w:fill="FFFFFF" w:themeFill="background1"/>
            <w:tcMar>
              <w:top w:w="43" w:type="dxa"/>
              <w:bottom w:w="43" w:type="dxa"/>
            </w:tcMar>
            <w:vAlign w:val="center"/>
          </w:tcPr>
          <w:p w14:paraId="3C6878C8" w14:textId="77777777" w:rsidR="002542D4" w:rsidRPr="003C326B" w:rsidRDefault="002542D4" w:rsidP="00AE1FD1">
            <w:pPr>
              <w:jc w:val="center"/>
              <w:rPr>
                <w:b/>
                <w:color w:val="FFFFFF" w:themeColor="background1"/>
                <w:sz w:val="24"/>
                <w:szCs w:val="24"/>
              </w:rPr>
            </w:pPr>
            <w:r w:rsidRPr="003C326B">
              <w:rPr>
                <w:b/>
                <w:sz w:val="24"/>
                <w:szCs w:val="24"/>
              </w:rPr>
              <w:t>NEW FIVE-YEAR COSTS</w:t>
            </w:r>
          </w:p>
        </w:tc>
        <w:tc>
          <w:tcPr>
            <w:tcW w:w="1030" w:type="dxa"/>
            <w:shd w:val="clear" w:color="auto" w:fill="FFFFFF" w:themeFill="background1"/>
            <w:vAlign w:val="center"/>
          </w:tcPr>
          <w:p w14:paraId="0EEE591D" w14:textId="77777777" w:rsidR="002542D4" w:rsidRPr="003C326B" w:rsidRDefault="002542D4" w:rsidP="00AE1FD1">
            <w:pPr>
              <w:jc w:val="center"/>
              <w:rPr>
                <w:color w:val="FFFFFF" w:themeColor="background1"/>
                <w:sz w:val="24"/>
                <w:szCs w:val="24"/>
              </w:rPr>
            </w:pPr>
          </w:p>
        </w:tc>
        <w:tc>
          <w:tcPr>
            <w:tcW w:w="4153" w:type="dxa"/>
            <w:gridSpan w:val="2"/>
            <w:shd w:val="clear" w:color="auto" w:fill="FFFFFF" w:themeFill="background1"/>
            <w:vAlign w:val="center"/>
          </w:tcPr>
          <w:p w14:paraId="68DD79CF" w14:textId="77777777" w:rsidR="002542D4" w:rsidRPr="003C326B" w:rsidRDefault="002542D4" w:rsidP="00AE1FD1">
            <w:pPr>
              <w:jc w:val="center"/>
              <w:rPr>
                <w:b/>
                <w:color w:val="FFFFFF" w:themeColor="background1"/>
                <w:sz w:val="24"/>
                <w:szCs w:val="24"/>
              </w:rPr>
            </w:pPr>
            <w:r w:rsidRPr="003C326B">
              <w:rPr>
                <w:b/>
                <w:sz w:val="24"/>
                <w:szCs w:val="24"/>
              </w:rPr>
              <w:t>SOURCES OF FUNDING</w:t>
            </w:r>
          </w:p>
        </w:tc>
      </w:tr>
      <w:tr w:rsidR="002542D4" w:rsidRPr="001C1DCF" w14:paraId="4ECDA533" w14:textId="77777777" w:rsidTr="00AE1FD1">
        <w:trPr>
          <w:trHeight w:val="286"/>
        </w:trPr>
        <w:tc>
          <w:tcPr>
            <w:tcW w:w="2565" w:type="dxa"/>
            <w:tcBorders>
              <w:bottom w:val="single" w:sz="4" w:space="0" w:color="auto"/>
            </w:tcBorders>
            <w:vAlign w:val="center"/>
          </w:tcPr>
          <w:p w14:paraId="218CD90A" w14:textId="77777777" w:rsidR="002542D4" w:rsidRPr="003C326B" w:rsidRDefault="002542D4" w:rsidP="00AE1FD1">
            <w:pPr>
              <w:spacing w:before="120"/>
              <w:rPr>
                <w:sz w:val="24"/>
                <w:szCs w:val="24"/>
              </w:rPr>
            </w:pPr>
            <w:r w:rsidRPr="003C326B">
              <w:rPr>
                <w:sz w:val="24"/>
                <w:szCs w:val="24"/>
              </w:rPr>
              <w:t>Faculty</w:t>
            </w:r>
          </w:p>
        </w:tc>
        <w:tc>
          <w:tcPr>
            <w:tcW w:w="1602" w:type="dxa"/>
            <w:tcBorders>
              <w:bottom w:val="single" w:sz="4" w:space="0" w:color="auto"/>
            </w:tcBorders>
            <w:vAlign w:val="center"/>
          </w:tcPr>
          <w:p w14:paraId="336F2BC7" w14:textId="77777777" w:rsidR="002542D4" w:rsidRPr="003C326B" w:rsidRDefault="002542D4" w:rsidP="00AE1FD1">
            <w:pPr>
              <w:spacing w:before="120"/>
              <w:jc w:val="right"/>
              <w:rPr>
                <w:sz w:val="24"/>
                <w:szCs w:val="24"/>
              </w:rPr>
            </w:pPr>
            <w:r w:rsidRPr="003C326B">
              <w:rPr>
                <w:sz w:val="24"/>
                <w:szCs w:val="24"/>
              </w:rPr>
              <w:t xml:space="preserve">$1,381,100 </w:t>
            </w:r>
          </w:p>
        </w:tc>
        <w:tc>
          <w:tcPr>
            <w:tcW w:w="1030" w:type="dxa"/>
            <w:vMerge w:val="restart"/>
            <w:vAlign w:val="center"/>
          </w:tcPr>
          <w:p w14:paraId="4AEF2E49" w14:textId="77777777" w:rsidR="002542D4" w:rsidRPr="003C326B" w:rsidRDefault="002542D4" w:rsidP="00AE1FD1">
            <w:pPr>
              <w:spacing w:before="120"/>
              <w:rPr>
                <w:sz w:val="24"/>
                <w:szCs w:val="24"/>
              </w:rPr>
            </w:pPr>
          </w:p>
        </w:tc>
        <w:tc>
          <w:tcPr>
            <w:tcW w:w="2743" w:type="dxa"/>
            <w:tcBorders>
              <w:bottom w:val="single" w:sz="4" w:space="0" w:color="auto"/>
            </w:tcBorders>
            <w:vAlign w:val="center"/>
          </w:tcPr>
          <w:p w14:paraId="54CF7AD0" w14:textId="77777777" w:rsidR="002542D4" w:rsidRPr="003C326B" w:rsidRDefault="002542D4" w:rsidP="00AE1FD1">
            <w:pPr>
              <w:spacing w:before="120"/>
              <w:rPr>
                <w:sz w:val="24"/>
                <w:szCs w:val="24"/>
              </w:rPr>
            </w:pPr>
            <w:r w:rsidRPr="003C326B">
              <w:rPr>
                <w:sz w:val="24"/>
                <w:szCs w:val="24"/>
              </w:rPr>
              <w:t>Formula Income</w:t>
            </w:r>
          </w:p>
        </w:tc>
        <w:tc>
          <w:tcPr>
            <w:tcW w:w="0" w:type="auto"/>
            <w:tcBorders>
              <w:bottom w:val="single" w:sz="4" w:space="0" w:color="auto"/>
            </w:tcBorders>
            <w:vAlign w:val="center"/>
          </w:tcPr>
          <w:p w14:paraId="36A764AA" w14:textId="77777777" w:rsidR="002542D4" w:rsidRPr="003C326B" w:rsidRDefault="002542D4" w:rsidP="00AE1FD1">
            <w:pPr>
              <w:spacing w:before="120"/>
              <w:jc w:val="right"/>
              <w:rPr>
                <w:sz w:val="24"/>
                <w:szCs w:val="24"/>
              </w:rPr>
            </w:pPr>
            <w:r w:rsidRPr="003C326B">
              <w:rPr>
                <w:sz w:val="24"/>
                <w:szCs w:val="24"/>
              </w:rPr>
              <w:t xml:space="preserve">$363,276 </w:t>
            </w:r>
          </w:p>
        </w:tc>
      </w:tr>
      <w:tr w:rsidR="002542D4" w:rsidRPr="001C1DCF" w14:paraId="11FC9131" w14:textId="77777777" w:rsidTr="00AE1FD1">
        <w:tc>
          <w:tcPr>
            <w:tcW w:w="2565" w:type="dxa"/>
            <w:tcBorders>
              <w:bottom w:val="single" w:sz="4" w:space="0" w:color="auto"/>
            </w:tcBorders>
            <w:vAlign w:val="center"/>
          </w:tcPr>
          <w:p w14:paraId="42476E64" w14:textId="77777777" w:rsidR="002542D4" w:rsidRPr="003C326B" w:rsidRDefault="002542D4" w:rsidP="00AE1FD1">
            <w:pPr>
              <w:spacing w:before="120"/>
              <w:rPr>
                <w:sz w:val="24"/>
                <w:szCs w:val="24"/>
              </w:rPr>
            </w:pPr>
            <w:r w:rsidRPr="003C326B">
              <w:rPr>
                <w:sz w:val="24"/>
                <w:szCs w:val="24"/>
              </w:rPr>
              <w:t>Program Administration</w:t>
            </w:r>
          </w:p>
        </w:tc>
        <w:tc>
          <w:tcPr>
            <w:tcW w:w="1602" w:type="dxa"/>
            <w:tcBorders>
              <w:bottom w:val="single" w:sz="4" w:space="0" w:color="auto"/>
            </w:tcBorders>
            <w:vAlign w:val="center"/>
          </w:tcPr>
          <w:p w14:paraId="4962DC80" w14:textId="77777777" w:rsidR="002542D4" w:rsidRPr="003C326B" w:rsidRDefault="002542D4" w:rsidP="00AE1FD1">
            <w:pPr>
              <w:spacing w:before="120"/>
              <w:jc w:val="right"/>
              <w:rPr>
                <w:sz w:val="24"/>
                <w:szCs w:val="24"/>
              </w:rPr>
            </w:pPr>
            <w:r w:rsidRPr="003C326B">
              <w:rPr>
                <w:sz w:val="24"/>
                <w:szCs w:val="24"/>
              </w:rPr>
              <w:t>$0</w:t>
            </w:r>
          </w:p>
        </w:tc>
        <w:tc>
          <w:tcPr>
            <w:tcW w:w="1030" w:type="dxa"/>
            <w:vMerge/>
            <w:vAlign w:val="center"/>
          </w:tcPr>
          <w:p w14:paraId="70B20319" w14:textId="77777777" w:rsidR="002542D4" w:rsidRPr="003C326B" w:rsidRDefault="002542D4" w:rsidP="00AE1FD1">
            <w:pPr>
              <w:spacing w:before="120"/>
              <w:rPr>
                <w:sz w:val="24"/>
                <w:szCs w:val="24"/>
              </w:rPr>
            </w:pPr>
          </w:p>
        </w:tc>
        <w:tc>
          <w:tcPr>
            <w:tcW w:w="2743" w:type="dxa"/>
            <w:tcBorders>
              <w:bottom w:val="single" w:sz="4" w:space="0" w:color="auto"/>
            </w:tcBorders>
            <w:vAlign w:val="center"/>
          </w:tcPr>
          <w:p w14:paraId="782DC5CC" w14:textId="77777777" w:rsidR="002542D4" w:rsidRPr="003C326B" w:rsidRDefault="002542D4" w:rsidP="00AE1FD1">
            <w:pPr>
              <w:spacing w:before="120"/>
              <w:rPr>
                <w:sz w:val="24"/>
                <w:szCs w:val="24"/>
              </w:rPr>
            </w:pPr>
            <w:r w:rsidRPr="003C326B">
              <w:rPr>
                <w:sz w:val="24"/>
                <w:szCs w:val="24"/>
              </w:rPr>
              <w:t>Statutory Tuition</w:t>
            </w:r>
          </w:p>
        </w:tc>
        <w:tc>
          <w:tcPr>
            <w:tcW w:w="0" w:type="auto"/>
            <w:tcBorders>
              <w:bottom w:val="single" w:sz="4" w:space="0" w:color="auto"/>
            </w:tcBorders>
            <w:vAlign w:val="center"/>
          </w:tcPr>
          <w:p w14:paraId="0F0A1CB9" w14:textId="77777777" w:rsidR="002542D4" w:rsidRPr="003C326B" w:rsidRDefault="002542D4" w:rsidP="00AE1FD1">
            <w:pPr>
              <w:spacing w:before="120"/>
              <w:jc w:val="right"/>
              <w:rPr>
                <w:sz w:val="24"/>
                <w:szCs w:val="24"/>
              </w:rPr>
            </w:pPr>
            <w:r w:rsidRPr="003C326B">
              <w:rPr>
                <w:sz w:val="24"/>
                <w:szCs w:val="24"/>
              </w:rPr>
              <w:t>$409,954</w:t>
            </w:r>
          </w:p>
        </w:tc>
      </w:tr>
      <w:tr w:rsidR="002542D4" w:rsidRPr="001C1DCF" w14:paraId="5C5C11E3" w14:textId="77777777" w:rsidTr="00AE1FD1">
        <w:tc>
          <w:tcPr>
            <w:tcW w:w="2565" w:type="dxa"/>
            <w:tcBorders>
              <w:top w:val="single" w:sz="4" w:space="0" w:color="auto"/>
              <w:bottom w:val="single" w:sz="4" w:space="0" w:color="auto"/>
            </w:tcBorders>
            <w:vAlign w:val="center"/>
          </w:tcPr>
          <w:p w14:paraId="215AD02E" w14:textId="77777777" w:rsidR="002542D4" w:rsidRPr="003C326B" w:rsidRDefault="002542D4" w:rsidP="00AE1FD1">
            <w:pPr>
              <w:spacing w:before="120"/>
              <w:rPr>
                <w:sz w:val="24"/>
                <w:szCs w:val="24"/>
              </w:rPr>
            </w:pPr>
            <w:r w:rsidRPr="003C326B">
              <w:rPr>
                <w:sz w:val="24"/>
                <w:szCs w:val="24"/>
              </w:rPr>
              <w:t>Graduate Assistants</w:t>
            </w:r>
          </w:p>
        </w:tc>
        <w:tc>
          <w:tcPr>
            <w:tcW w:w="1602" w:type="dxa"/>
            <w:tcBorders>
              <w:top w:val="single" w:sz="4" w:space="0" w:color="auto"/>
              <w:bottom w:val="single" w:sz="4" w:space="0" w:color="auto"/>
            </w:tcBorders>
            <w:shd w:val="clear" w:color="auto" w:fill="auto"/>
            <w:vAlign w:val="center"/>
          </w:tcPr>
          <w:p w14:paraId="33F14436" w14:textId="77777777" w:rsidR="002542D4" w:rsidRPr="003C326B" w:rsidRDefault="002542D4" w:rsidP="00AE1FD1">
            <w:pPr>
              <w:jc w:val="right"/>
              <w:rPr>
                <w:sz w:val="24"/>
                <w:szCs w:val="24"/>
              </w:rPr>
            </w:pPr>
            <w:r w:rsidRPr="003C326B">
              <w:rPr>
                <w:sz w:val="24"/>
                <w:szCs w:val="24"/>
              </w:rPr>
              <w:t>$35,000</w:t>
            </w:r>
          </w:p>
        </w:tc>
        <w:tc>
          <w:tcPr>
            <w:tcW w:w="1030" w:type="dxa"/>
            <w:vMerge/>
            <w:tcBorders>
              <w:top w:val="single" w:sz="4" w:space="0" w:color="auto"/>
            </w:tcBorders>
            <w:vAlign w:val="center"/>
          </w:tcPr>
          <w:p w14:paraId="49D29ABE" w14:textId="77777777" w:rsidR="002542D4" w:rsidRPr="003C326B" w:rsidRDefault="002542D4" w:rsidP="00AE1FD1">
            <w:pPr>
              <w:rPr>
                <w:sz w:val="24"/>
                <w:szCs w:val="24"/>
              </w:rPr>
            </w:pPr>
          </w:p>
        </w:tc>
        <w:tc>
          <w:tcPr>
            <w:tcW w:w="2743" w:type="dxa"/>
            <w:tcBorders>
              <w:top w:val="single" w:sz="4" w:space="0" w:color="auto"/>
              <w:bottom w:val="single" w:sz="4" w:space="0" w:color="auto"/>
            </w:tcBorders>
            <w:shd w:val="clear" w:color="auto" w:fill="auto"/>
            <w:vAlign w:val="center"/>
          </w:tcPr>
          <w:p w14:paraId="2F873DAC" w14:textId="77777777" w:rsidR="002542D4" w:rsidRPr="003C326B" w:rsidRDefault="002542D4" w:rsidP="00AE1FD1">
            <w:pPr>
              <w:rPr>
                <w:sz w:val="24"/>
                <w:szCs w:val="24"/>
              </w:rPr>
            </w:pPr>
            <w:r w:rsidRPr="003C326B">
              <w:rPr>
                <w:sz w:val="24"/>
                <w:szCs w:val="24"/>
              </w:rPr>
              <w:t>Reallocation</w:t>
            </w:r>
          </w:p>
        </w:tc>
        <w:tc>
          <w:tcPr>
            <w:tcW w:w="0" w:type="auto"/>
            <w:tcBorders>
              <w:top w:val="single" w:sz="4" w:space="0" w:color="auto"/>
              <w:bottom w:val="single" w:sz="4" w:space="0" w:color="auto"/>
            </w:tcBorders>
            <w:shd w:val="clear" w:color="auto" w:fill="auto"/>
            <w:vAlign w:val="center"/>
          </w:tcPr>
          <w:p w14:paraId="7255B05F" w14:textId="77777777" w:rsidR="002542D4" w:rsidRPr="003C326B" w:rsidRDefault="002542D4" w:rsidP="00AE1FD1">
            <w:pPr>
              <w:jc w:val="right"/>
              <w:rPr>
                <w:sz w:val="24"/>
                <w:szCs w:val="24"/>
              </w:rPr>
            </w:pPr>
            <w:r w:rsidRPr="003C326B">
              <w:rPr>
                <w:sz w:val="24"/>
                <w:szCs w:val="24"/>
              </w:rPr>
              <w:t>$151,730</w:t>
            </w:r>
          </w:p>
        </w:tc>
      </w:tr>
      <w:tr w:rsidR="002542D4" w:rsidRPr="001C1DCF" w14:paraId="4D9CA1CD" w14:textId="77777777" w:rsidTr="00AE1FD1">
        <w:tc>
          <w:tcPr>
            <w:tcW w:w="2565" w:type="dxa"/>
            <w:tcBorders>
              <w:top w:val="single" w:sz="4" w:space="0" w:color="auto"/>
              <w:bottom w:val="single" w:sz="4" w:space="0" w:color="auto"/>
            </w:tcBorders>
            <w:vAlign w:val="center"/>
          </w:tcPr>
          <w:p w14:paraId="53272886" w14:textId="77777777" w:rsidR="002542D4" w:rsidRPr="003C326B" w:rsidRDefault="002542D4" w:rsidP="00AE1FD1">
            <w:pPr>
              <w:rPr>
                <w:sz w:val="24"/>
                <w:szCs w:val="24"/>
              </w:rPr>
            </w:pPr>
            <w:r w:rsidRPr="003C326B">
              <w:rPr>
                <w:sz w:val="24"/>
                <w:szCs w:val="24"/>
              </w:rPr>
              <w:t>Supplies &amp; Materials</w:t>
            </w:r>
          </w:p>
        </w:tc>
        <w:tc>
          <w:tcPr>
            <w:tcW w:w="1602" w:type="dxa"/>
            <w:tcBorders>
              <w:top w:val="single" w:sz="4" w:space="0" w:color="auto"/>
              <w:bottom w:val="single" w:sz="4" w:space="0" w:color="auto"/>
            </w:tcBorders>
            <w:shd w:val="clear" w:color="auto" w:fill="auto"/>
            <w:vAlign w:val="center"/>
          </w:tcPr>
          <w:p w14:paraId="204A8E93" w14:textId="77777777" w:rsidR="002542D4" w:rsidRPr="003C326B" w:rsidRDefault="002542D4" w:rsidP="00AE1FD1">
            <w:pPr>
              <w:jc w:val="right"/>
              <w:rPr>
                <w:sz w:val="24"/>
                <w:szCs w:val="24"/>
              </w:rPr>
            </w:pPr>
            <w:r w:rsidRPr="003C326B">
              <w:rPr>
                <w:sz w:val="24"/>
                <w:szCs w:val="24"/>
              </w:rPr>
              <w:t>$75,000</w:t>
            </w:r>
          </w:p>
        </w:tc>
        <w:tc>
          <w:tcPr>
            <w:tcW w:w="1030" w:type="dxa"/>
            <w:vMerge/>
            <w:vAlign w:val="center"/>
          </w:tcPr>
          <w:p w14:paraId="674C5479" w14:textId="77777777" w:rsidR="002542D4" w:rsidRPr="003C326B" w:rsidRDefault="002542D4" w:rsidP="00AE1FD1">
            <w:pPr>
              <w:rPr>
                <w:sz w:val="24"/>
                <w:szCs w:val="24"/>
              </w:rPr>
            </w:pPr>
          </w:p>
        </w:tc>
        <w:tc>
          <w:tcPr>
            <w:tcW w:w="2743" w:type="dxa"/>
            <w:tcBorders>
              <w:bottom w:val="single" w:sz="4" w:space="0" w:color="auto"/>
            </w:tcBorders>
            <w:shd w:val="clear" w:color="auto" w:fill="auto"/>
            <w:vAlign w:val="center"/>
          </w:tcPr>
          <w:p w14:paraId="76519333" w14:textId="77777777" w:rsidR="002542D4" w:rsidRPr="003C326B" w:rsidRDefault="002542D4" w:rsidP="00AE1FD1">
            <w:pPr>
              <w:rPr>
                <w:sz w:val="24"/>
                <w:szCs w:val="24"/>
              </w:rPr>
            </w:pPr>
            <w:r w:rsidRPr="003C326B">
              <w:rPr>
                <w:sz w:val="24"/>
                <w:szCs w:val="24"/>
              </w:rPr>
              <w:t>Designated Tuition</w:t>
            </w:r>
          </w:p>
        </w:tc>
        <w:tc>
          <w:tcPr>
            <w:tcW w:w="0" w:type="auto"/>
            <w:tcBorders>
              <w:bottom w:val="single" w:sz="4" w:space="0" w:color="auto"/>
            </w:tcBorders>
            <w:shd w:val="clear" w:color="auto" w:fill="auto"/>
            <w:vAlign w:val="center"/>
          </w:tcPr>
          <w:p w14:paraId="32890549" w14:textId="77777777" w:rsidR="002542D4" w:rsidRPr="003C326B" w:rsidRDefault="002542D4" w:rsidP="00AE1FD1">
            <w:pPr>
              <w:jc w:val="right"/>
              <w:rPr>
                <w:sz w:val="24"/>
                <w:szCs w:val="24"/>
              </w:rPr>
            </w:pPr>
            <w:r w:rsidRPr="003C326B">
              <w:rPr>
                <w:sz w:val="24"/>
                <w:szCs w:val="24"/>
              </w:rPr>
              <w:t>$1,209,917</w:t>
            </w:r>
          </w:p>
        </w:tc>
      </w:tr>
      <w:tr w:rsidR="002542D4" w:rsidRPr="001C1DCF" w14:paraId="5E1D8183" w14:textId="77777777" w:rsidTr="00AE1FD1">
        <w:tc>
          <w:tcPr>
            <w:tcW w:w="2565" w:type="dxa"/>
            <w:tcBorders>
              <w:top w:val="single" w:sz="4" w:space="0" w:color="auto"/>
              <w:bottom w:val="single" w:sz="4" w:space="0" w:color="auto"/>
            </w:tcBorders>
            <w:vAlign w:val="center"/>
          </w:tcPr>
          <w:p w14:paraId="0CF81EFA" w14:textId="77777777" w:rsidR="002542D4" w:rsidRPr="003C326B" w:rsidRDefault="002542D4" w:rsidP="00AE1FD1">
            <w:pPr>
              <w:rPr>
                <w:sz w:val="24"/>
                <w:szCs w:val="24"/>
              </w:rPr>
            </w:pPr>
            <w:r w:rsidRPr="003C326B">
              <w:rPr>
                <w:sz w:val="24"/>
                <w:szCs w:val="24"/>
              </w:rPr>
              <w:t>Library &amp; IT Resources</w:t>
            </w:r>
          </w:p>
        </w:tc>
        <w:tc>
          <w:tcPr>
            <w:tcW w:w="1602" w:type="dxa"/>
            <w:tcBorders>
              <w:top w:val="single" w:sz="4" w:space="0" w:color="auto"/>
              <w:bottom w:val="single" w:sz="4" w:space="0" w:color="auto"/>
            </w:tcBorders>
            <w:vAlign w:val="center"/>
          </w:tcPr>
          <w:p w14:paraId="25C906B5" w14:textId="77777777" w:rsidR="002542D4" w:rsidRPr="003C326B" w:rsidRDefault="002542D4" w:rsidP="00AE1FD1">
            <w:pPr>
              <w:jc w:val="right"/>
              <w:rPr>
                <w:sz w:val="24"/>
                <w:szCs w:val="24"/>
              </w:rPr>
            </w:pPr>
            <w:r w:rsidRPr="003C326B">
              <w:rPr>
                <w:sz w:val="24"/>
                <w:szCs w:val="24"/>
              </w:rPr>
              <w:t>$60,000</w:t>
            </w:r>
          </w:p>
        </w:tc>
        <w:tc>
          <w:tcPr>
            <w:tcW w:w="1030" w:type="dxa"/>
            <w:vMerge/>
            <w:vAlign w:val="center"/>
          </w:tcPr>
          <w:p w14:paraId="2C1315D6" w14:textId="77777777" w:rsidR="002542D4" w:rsidRPr="003C326B" w:rsidRDefault="002542D4" w:rsidP="00AE1FD1">
            <w:pPr>
              <w:rPr>
                <w:sz w:val="24"/>
                <w:szCs w:val="24"/>
              </w:rPr>
            </w:pPr>
          </w:p>
        </w:tc>
        <w:tc>
          <w:tcPr>
            <w:tcW w:w="2743" w:type="dxa"/>
            <w:tcBorders>
              <w:top w:val="single" w:sz="4" w:space="0" w:color="auto"/>
              <w:bottom w:val="single" w:sz="4" w:space="0" w:color="auto"/>
            </w:tcBorders>
            <w:vAlign w:val="center"/>
          </w:tcPr>
          <w:p w14:paraId="7339828A" w14:textId="77777777" w:rsidR="002542D4" w:rsidRPr="003C326B" w:rsidRDefault="002542D4" w:rsidP="00AE1FD1">
            <w:pPr>
              <w:rPr>
                <w:sz w:val="24"/>
                <w:szCs w:val="24"/>
              </w:rPr>
            </w:pPr>
            <w:r w:rsidRPr="003C326B">
              <w:rPr>
                <w:sz w:val="24"/>
                <w:szCs w:val="24"/>
              </w:rPr>
              <w:t>Course Fees</w:t>
            </w:r>
          </w:p>
        </w:tc>
        <w:tc>
          <w:tcPr>
            <w:tcW w:w="0" w:type="auto"/>
            <w:tcBorders>
              <w:top w:val="single" w:sz="4" w:space="0" w:color="auto"/>
              <w:bottom w:val="single" w:sz="4" w:space="0" w:color="auto"/>
            </w:tcBorders>
            <w:vAlign w:val="center"/>
          </w:tcPr>
          <w:p w14:paraId="0051D322" w14:textId="77777777" w:rsidR="002542D4" w:rsidRPr="003C326B" w:rsidRDefault="002542D4" w:rsidP="00AE1FD1">
            <w:pPr>
              <w:jc w:val="right"/>
              <w:rPr>
                <w:sz w:val="24"/>
                <w:szCs w:val="24"/>
              </w:rPr>
            </w:pPr>
            <w:r w:rsidRPr="003C326B">
              <w:rPr>
                <w:sz w:val="24"/>
                <w:szCs w:val="24"/>
              </w:rPr>
              <w:t>$92,646</w:t>
            </w:r>
          </w:p>
        </w:tc>
      </w:tr>
      <w:tr w:rsidR="002542D4" w:rsidRPr="001C1DCF" w14:paraId="16A82413" w14:textId="77777777" w:rsidTr="00AE1FD1">
        <w:tc>
          <w:tcPr>
            <w:tcW w:w="2565" w:type="dxa"/>
            <w:tcBorders>
              <w:top w:val="single" w:sz="4" w:space="0" w:color="auto"/>
              <w:bottom w:val="single" w:sz="4" w:space="0" w:color="auto"/>
            </w:tcBorders>
            <w:vAlign w:val="center"/>
          </w:tcPr>
          <w:p w14:paraId="2CFE6758" w14:textId="77777777" w:rsidR="002542D4" w:rsidRPr="003C326B" w:rsidRDefault="002542D4" w:rsidP="00AE1FD1">
            <w:pPr>
              <w:rPr>
                <w:sz w:val="24"/>
                <w:szCs w:val="24"/>
              </w:rPr>
            </w:pPr>
            <w:r w:rsidRPr="003C326B">
              <w:rPr>
                <w:sz w:val="24"/>
                <w:szCs w:val="24"/>
              </w:rPr>
              <w:t>Equipment, Facilities</w:t>
            </w:r>
          </w:p>
        </w:tc>
        <w:tc>
          <w:tcPr>
            <w:tcW w:w="1602" w:type="dxa"/>
            <w:tcBorders>
              <w:top w:val="single" w:sz="4" w:space="0" w:color="auto"/>
              <w:bottom w:val="single" w:sz="4" w:space="0" w:color="auto"/>
            </w:tcBorders>
            <w:vAlign w:val="center"/>
          </w:tcPr>
          <w:p w14:paraId="36CF5A49" w14:textId="77777777" w:rsidR="002542D4" w:rsidRPr="003C326B" w:rsidRDefault="002542D4" w:rsidP="00AE1FD1">
            <w:pPr>
              <w:jc w:val="right"/>
              <w:rPr>
                <w:sz w:val="24"/>
                <w:szCs w:val="24"/>
              </w:rPr>
            </w:pPr>
            <w:r w:rsidRPr="003C326B">
              <w:rPr>
                <w:sz w:val="24"/>
                <w:szCs w:val="24"/>
              </w:rPr>
              <w:t>$80,000</w:t>
            </w:r>
          </w:p>
        </w:tc>
        <w:tc>
          <w:tcPr>
            <w:tcW w:w="1030" w:type="dxa"/>
            <w:vMerge/>
            <w:vAlign w:val="center"/>
          </w:tcPr>
          <w:p w14:paraId="4BC768A7" w14:textId="77777777" w:rsidR="002542D4" w:rsidRPr="003C326B" w:rsidRDefault="002542D4" w:rsidP="00AE1FD1">
            <w:pPr>
              <w:rPr>
                <w:sz w:val="24"/>
                <w:szCs w:val="24"/>
              </w:rPr>
            </w:pPr>
          </w:p>
        </w:tc>
        <w:tc>
          <w:tcPr>
            <w:tcW w:w="2743" w:type="dxa"/>
            <w:tcBorders>
              <w:top w:val="single" w:sz="4" w:space="0" w:color="auto"/>
              <w:bottom w:val="single" w:sz="4" w:space="0" w:color="auto"/>
            </w:tcBorders>
            <w:vAlign w:val="center"/>
          </w:tcPr>
          <w:p w14:paraId="3C06A91B" w14:textId="77777777" w:rsidR="002542D4" w:rsidRPr="003C326B" w:rsidRDefault="002542D4" w:rsidP="00AE1FD1">
            <w:pPr>
              <w:rPr>
                <w:sz w:val="24"/>
                <w:szCs w:val="24"/>
              </w:rPr>
            </w:pPr>
          </w:p>
        </w:tc>
        <w:tc>
          <w:tcPr>
            <w:tcW w:w="0" w:type="auto"/>
            <w:tcBorders>
              <w:top w:val="single" w:sz="4" w:space="0" w:color="auto"/>
              <w:bottom w:val="single" w:sz="4" w:space="0" w:color="auto"/>
            </w:tcBorders>
            <w:vAlign w:val="center"/>
          </w:tcPr>
          <w:p w14:paraId="669253DD" w14:textId="77777777" w:rsidR="002542D4" w:rsidRPr="003C326B" w:rsidRDefault="002542D4" w:rsidP="00AE1FD1">
            <w:pPr>
              <w:jc w:val="right"/>
              <w:rPr>
                <w:sz w:val="24"/>
                <w:szCs w:val="24"/>
              </w:rPr>
            </w:pPr>
          </w:p>
        </w:tc>
      </w:tr>
      <w:tr w:rsidR="002542D4" w:rsidRPr="001C1DCF" w14:paraId="62819C90" w14:textId="77777777" w:rsidTr="00AE1FD1">
        <w:tc>
          <w:tcPr>
            <w:tcW w:w="2565" w:type="dxa"/>
            <w:tcBorders>
              <w:top w:val="single" w:sz="4" w:space="0" w:color="auto"/>
              <w:bottom w:val="single" w:sz="4" w:space="0" w:color="auto"/>
            </w:tcBorders>
            <w:vAlign w:val="center"/>
          </w:tcPr>
          <w:p w14:paraId="4B7C97C3" w14:textId="77777777" w:rsidR="002542D4" w:rsidRPr="003C326B" w:rsidRDefault="002542D4" w:rsidP="00AE1FD1">
            <w:pPr>
              <w:rPr>
                <w:sz w:val="24"/>
                <w:szCs w:val="24"/>
              </w:rPr>
            </w:pPr>
          </w:p>
        </w:tc>
        <w:tc>
          <w:tcPr>
            <w:tcW w:w="1602" w:type="dxa"/>
            <w:tcBorders>
              <w:top w:val="single" w:sz="4" w:space="0" w:color="auto"/>
              <w:bottom w:val="single" w:sz="4" w:space="0" w:color="auto"/>
            </w:tcBorders>
            <w:vAlign w:val="center"/>
          </w:tcPr>
          <w:p w14:paraId="05D6E9C9" w14:textId="77777777" w:rsidR="002542D4" w:rsidRPr="003C326B" w:rsidRDefault="002542D4" w:rsidP="00AE1FD1">
            <w:pPr>
              <w:jc w:val="right"/>
              <w:rPr>
                <w:sz w:val="24"/>
                <w:szCs w:val="24"/>
              </w:rPr>
            </w:pPr>
          </w:p>
        </w:tc>
        <w:tc>
          <w:tcPr>
            <w:tcW w:w="1030" w:type="dxa"/>
            <w:vMerge/>
            <w:vAlign w:val="center"/>
          </w:tcPr>
          <w:p w14:paraId="20D3849C" w14:textId="77777777" w:rsidR="002542D4" w:rsidRPr="003C326B" w:rsidRDefault="002542D4" w:rsidP="00AE1FD1">
            <w:pPr>
              <w:rPr>
                <w:sz w:val="24"/>
                <w:szCs w:val="24"/>
              </w:rPr>
            </w:pPr>
          </w:p>
        </w:tc>
        <w:tc>
          <w:tcPr>
            <w:tcW w:w="2743" w:type="dxa"/>
            <w:tcBorders>
              <w:top w:val="single" w:sz="4" w:space="0" w:color="auto"/>
              <w:bottom w:val="single" w:sz="4" w:space="0" w:color="auto"/>
            </w:tcBorders>
            <w:vAlign w:val="center"/>
          </w:tcPr>
          <w:p w14:paraId="6D931E2D" w14:textId="77777777" w:rsidR="002542D4" w:rsidRPr="003C326B" w:rsidRDefault="002542D4" w:rsidP="00AE1FD1">
            <w:pPr>
              <w:rPr>
                <w:sz w:val="24"/>
                <w:szCs w:val="24"/>
              </w:rPr>
            </w:pPr>
            <w:r w:rsidRPr="003C326B">
              <w:rPr>
                <w:sz w:val="24"/>
                <w:szCs w:val="24"/>
              </w:rPr>
              <w:t>Other Funding:</w:t>
            </w:r>
          </w:p>
        </w:tc>
        <w:tc>
          <w:tcPr>
            <w:tcW w:w="0" w:type="auto"/>
            <w:tcBorders>
              <w:top w:val="single" w:sz="4" w:space="0" w:color="auto"/>
              <w:bottom w:val="single" w:sz="4" w:space="0" w:color="auto"/>
            </w:tcBorders>
            <w:vAlign w:val="center"/>
          </w:tcPr>
          <w:p w14:paraId="3FF98574" w14:textId="77777777" w:rsidR="002542D4" w:rsidRPr="003C326B" w:rsidRDefault="002542D4" w:rsidP="00AE1FD1">
            <w:pPr>
              <w:jc w:val="right"/>
              <w:rPr>
                <w:sz w:val="24"/>
                <w:szCs w:val="24"/>
              </w:rPr>
            </w:pPr>
          </w:p>
        </w:tc>
      </w:tr>
      <w:tr w:rsidR="002542D4" w:rsidRPr="001C1DCF" w14:paraId="53BB552E" w14:textId="77777777" w:rsidTr="00AE1FD1">
        <w:tc>
          <w:tcPr>
            <w:tcW w:w="2565" w:type="dxa"/>
            <w:tcBorders>
              <w:top w:val="single" w:sz="4" w:space="0" w:color="auto"/>
              <w:bottom w:val="single" w:sz="4" w:space="0" w:color="auto"/>
            </w:tcBorders>
            <w:vAlign w:val="center"/>
          </w:tcPr>
          <w:p w14:paraId="21602FF5" w14:textId="77777777" w:rsidR="002542D4" w:rsidRPr="003C326B" w:rsidRDefault="002542D4" w:rsidP="00AE1FD1">
            <w:pPr>
              <w:rPr>
                <w:sz w:val="24"/>
                <w:szCs w:val="24"/>
              </w:rPr>
            </w:pPr>
            <w:r w:rsidRPr="003C326B">
              <w:rPr>
                <w:sz w:val="24"/>
                <w:szCs w:val="24"/>
              </w:rPr>
              <w:t>Other</w:t>
            </w:r>
          </w:p>
        </w:tc>
        <w:tc>
          <w:tcPr>
            <w:tcW w:w="1602" w:type="dxa"/>
            <w:tcBorders>
              <w:top w:val="single" w:sz="4" w:space="0" w:color="auto"/>
              <w:bottom w:val="single" w:sz="4" w:space="0" w:color="auto"/>
            </w:tcBorders>
            <w:vAlign w:val="center"/>
          </w:tcPr>
          <w:p w14:paraId="021C9636" w14:textId="77777777" w:rsidR="002542D4" w:rsidRPr="003C326B" w:rsidRDefault="002542D4" w:rsidP="00AE1FD1">
            <w:pPr>
              <w:jc w:val="right"/>
              <w:rPr>
                <w:sz w:val="24"/>
                <w:szCs w:val="24"/>
              </w:rPr>
            </w:pPr>
          </w:p>
        </w:tc>
        <w:tc>
          <w:tcPr>
            <w:tcW w:w="1030" w:type="dxa"/>
            <w:vMerge/>
            <w:vAlign w:val="center"/>
          </w:tcPr>
          <w:p w14:paraId="1DBB3EAE" w14:textId="77777777" w:rsidR="002542D4" w:rsidRPr="003C326B" w:rsidRDefault="002542D4" w:rsidP="00AE1FD1">
            <w:pPr>
              <w:rPr>
                <w:sz w:val="24"/>
                <w:szCs w:val="24"/>
              </w:rPr>
            </w:pPr>
          </w:p>
        </w:tc>
        <w:tc>
          <w:tcPr>
            <w:tcW w:w="2743" w:type="dxa"/>
            <w:tcBorders>
              <w:top w:val="single" w:sz="4" w:space="0" w:color="auto"/>
            </w:tcBorders>
            <w:vAlign w:val="center"/>
          </w:tcPr>
          <w:p w14:paraId="3360615F" w14:textId="77777777" w:rsidR="002542D4" w:rsidRPr="003C326B" w:rsidRDefault="002542D4" w:rsidP="00AE1FD1">
            <w:pPr>
              <w:rPr>
                <w:sz w:val="24"/>
                <w:szCs w:val="24"/>
              </w:rPr>
            </w:pPr>
            <w:r w:rsidRPr="003C326B">
              <w:rPr>
                <w:sz w:val="24"/>
                <w:szCs w:val="24"/>
              </w:rPr>
              <w:t>Yr2 Formula Funding</w:t>
            </w:r>
          </w:p>
        </w:tc>
        <w:tc>
          <w:tcPr>
            <w:tcW w:w="0" w:type="auto"/>
            <w:tcBorders>
              <w:top w:val="single" w:sz="4" w:space="0" w:color="auto"/>
            </w:tcBorders>
            <w:vAlign w:val="center"/>
          </w:tcPr>
          <w:p w14:paraId="138440EC" w14:textId="77777777" w:rsidR="002542D4" w:rsidRPr="003C326B" w:rsidRDefault="002542D4" w:rsidP="00AE1FD1">
            <w:pPr>
              <w:jc w:val="right"/>
              <w:rPr>
                <w:sz w:val="24"/>
                <w:szCs w:val="24"/>
              </w:rPr>
            </w:pPr>
            <w:r w:rsidRPr="003C326B">
              <w:rPr>
                <w:sz w:val="24"/>
                <w:szCs w:val="24"/>
              </w:rPr>
              <w:t>$21,603</w:t>
            </w:r>
          </w:p>
        </w:tc>
      </w:tr>
      <w:tr w:rsidR="002542D4" w:rsidRPr="001C1DCF" w14:paraId="3F739EB5" w14:textId="77777777" w:rsidTr="00AE1FD1">
        <w:tc>
          <w:tcPr>
            <w:tcW w:w="2565" w:type="dxa"/>
            <w:tcBorders>
              <w:top w:val="single" w:sz="4" w:space="0" w:color="auto"/>
            </w:tcBorders>
            <w:vAlign w:val="center"/>
          </w:tcPr>
          <w:p w14:paraId="54BFAF6F" w14:textId="77777777" w:rsidR="002542D4" w:rsidRPr="003C326B" w:rsidRDefault="002542D4" w:rsidP="00AE1FD1">
            <w:pPr>
              <w:spacing w:before="120"/>
              <w:rPr>
                <w:b/>
                <w:sz w:val="24"/>
                <w:szCs w:val="24"/>
              </w:rPr>
            </w:pPr>
            <w:r w:rsidRPr="003C326B">
              <w:rPr>
                <w:b/>
                <w:sz w:val="24"/>
                <w:szCs w:val="24"/>
              </w:rPr>
              <w:t>Estimated 5-Year Costs</w:t>
            </w:r>
          </w:p>
        </w:tc>
        <w:tc>
          <w:tcPr>
            <w:tcW w:w="1602" w:type="dxa"/>
            <w:tcBorders>
              <w:top w:val="single" w:sz="4" w:space="0" w:color="auto"/>
            </w:tcBorders>
            <w:vAlign w:val="center"/>
          </w:tcPr>
          <w:p w14:paraId="58BA1A7A" w14:textId="77777777" w:rsidR="002542D4" w:rsidRPr="003C326B" w:rsidRDefault="002542D4" w:rsidP="00AE1FD1">
            <w:pPr>
              <w:spacing w:before="120"/>
              <w:jc w:val="right"/>
              <w:rPr>
                <w:b/>
                <w:sz w:val="24"/>
                <w:szCs w:val="24"/>
              </w:rPr>
            </w:pPr>
            <w:r w:rsidRPr="003C326B">
              <w:rPr>
                <w:sz w:val="24"/>
                <w:szCs w:val="24"/>
              </w:rPr>
              <w:t>$1,631,100</w:t>
            </w:r>
          </w:p>
        </w:tc>
        <w:tc>
          <w:tcPr>
            <w:tcW w:w="1030" w:type="dxa"/>
            <w:vMerge/>
            <w:vAlign w:val="center"/>
          </w:tcPr>
          <w:p w14:paraId="76969C66" w14:textId="77777777" w:rsidR="002542D4" w:rsidRPr="003C326B" w:rsidRDefault="002542D4" w:rsidP="00AE1FD1">
            <w:pPr>
              <w:spacing w:before="120"/>
              <w:rPr>
                <w:b/>
                <w:sz w:val="24"/>
                <w:szCs w:val="24"/>
              </w:rPr>
            </w:pPr>
          </w:p>
        </w:tc>
        <w:tc>
          <w:tcPr>
            <w:tcW w:w="2743" w:type="dxa"/>
            <w:tcBorders>
              <w:top w:val="single" w:sz="4" w:space="0" w:color="auto"/>
            </w:tcBorders>
            <w:vAlign w:val="center"/>
          </w:tcPr>
          <w:p w14:paraId="0AFAEC58" w14:textId="77777777" w:rsidR="002542D4" w:rsidRPr="003C326B" w:rsidRDefault="002542D4" w:rsidP="00AE1FD1">
            <w:pPr>
              <w:spacing w:before="120"/>
              <w:rPr>
                <w:b/>
                <w:sz w:val="24"/>
                <w:szCs w:val="24"/>
              </w:rPr>
            </w:pPr>
            <w:r w:rsidRPr="003C326B">
              <w:rPr>
                <w:b/>
                <w:sz w:val="24"/>
                <w:szCs w:val="24"/>
              </w:rPr>
              <w:t>Estimated 5-Year Revenues</w:t>
            </w:r>
          </w:p>
        </w:tc>
        <w:tc>
          <w:tcPr>
            <w:tcW w:w="0" w:type="auto"/>
            <w:tcBorders>
              <w:top w:val="single" w:sz="4" w:space="0" w:color="auto"/>
            </w:tcBorders>
            <w:vAlign w:val="center"/>
          </w:tcPr>
          <w:p w14:paraId="5749A609" w14:textId="77777777" w:rsidR="002542D4" w:rsidRPr="003C326B" w:rsidRDefault="002542D4" w:rsidP="00AE1FD1">
            <w:pPr>
              <w:spacing w:before="120"/>
              <w:jc w:val="right"/>
              <w:rPr>
                <w:b/>
                <w:sz w:val="24"/>
                <w:szCs w:val="24"/>
              </w:rPr>
            </w:pPr>
            <w:r w:rsidRPr="003C326B">
              <w:rPr>
                <w:sz w:val="24"/>
                <w:szCs w:val="24"/>
              </w:rPr>
              <w:t xml:space="preserve">$2,249,126 </w:t>
            </w:r>
          </w:p>
        </w:tc>
      </w:tr>
    </w:tbl>
    <w:p w14:paraId="519C4DC2" w14:textId="77777777" w:rsidR="002542D4" w:rsidRPr="00844E52" w:rsidRDefault="002542D4" w:rsidP="002542D4">
      <w:pPr>
        <w:rPr>
          <w:sz w:val="24"/>
          <w:szCs w:val="24"/>
        </w:rPr>
        <w:sectPr w:rsidR="002542D4" w:rsidRPr="00844E52" w:rsidSect="002542D4">
          <w:type w:val="continuous"/>
          <w:pgSz w:w="12240" w:h="15840" w:code="1"/>
          <w:pgMar w:top="720" w:right="1440" w:bottom="720" w:left="1440" w:header="576" w:footer="432" w:gutter="0"/>
          <w:pgNumType w:start="1"/>
          <w:cols w:space="720"/>
        </w:sectPr>
      </w:pPr>
    </w:p>
    <w:p w14:paraId="008E95B6" w14:textId="260B89CF" w:rsidR="004E4680" w:rsidRPr="00D8139F" w:rsidRDefault="004E4680" w:rsidP="0082626A">
      <w:pPr>
        <w:rPr>
          <w:sz w:val="24"/>
          <w:szCs w:val="24"/>
        </w:rPr>
      </w:pPr>
    </w:p>
    <w:sectPr w:rsidR="004E4680" w:rsidRPr="00D8139F" w:rsidSect="003C326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3D778" w14:textId="77777777" w:rsidR="00844770" w:rsidRDefault="00844770">
      <w:r>
        <w:separator/>
      </w:r>
    </w:p>
  </w:endnote>
  <w:endnote w:type="continuationSeparator" w:id="0">
    <w:p w14:paraId="6F142094" w14:textId="77777777" w:rsidR="00844770" w:rsidRDefault="0084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F0E89" w14:textId="77777777" w:rsidR="002542D4" w:rsidRDefault="002542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1D4ACE" w14:textId="77777777" w:rsidR="002542D4" w:rsidRDefault="002542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E561C" w14:textId="2060822F" w:rsidR="002542D4" w:rsidRPr="006719DC" w:rsidRDefault="002542D4" w:rsidP="00196E11">
    <w:pPr>
      <w:pStyle w:val="Footer"/>
      <w:tabs>
        <w:tab w:val="left" w:pos="4050"/>
      </w:tabs>
      <w:jc w:val="center"/>
      <w:rPr>
        <w:sz w:val="24"/>
        <w:szCs w:val="24"/>
      </w:rPr>
    </w:pPr>
    <w:r w:rsidRPr="006719DC">
      <w:rPr>
        <w:sz w:val="24"/>
        <w:szCs w:val="24"/>
      </w:rPr>
      <w:t xml:space="preserve">Page </w:t>
    </w:r>
    <w:r w:rsidRPr="006719DC">
      <w:rPr>
        <w:sz w:val="24"/>
        <w:szCs w:val="24"/>
      </w:rPr>
      <w:fldChar w:fldCharType="begin"/>
    </w:r>
    <w:r w:rsidRPr="003C326B">
      <w:rPr>
        <w:sz w:val="24"/>
        <w:szCs w:val="24"/>
      </w:rPr>
      <w:instrText xml:space="preserve"> PAGE </w:instrText>
    </w:r>
    <w:r w:rsidRPr="006719DC">
      <w:rPr>
        <w:sz w:val="24"/>
        <w:szCs w:val="24"/>
      </w:rPr>
      <w:fldChar w:fldCharType="separate"/>
    </w:r>
    <w:r w:rsidR="00101E6D">
      <w:rPr>
        <w:noProof/>
        <w:sz w:val="24"/>
        <w:szCs w:val="24"/>
      </w:rPr>
      <w:t>2</w:t>
    </w:r>
    <w:r w:rsidRPr="006719DC">
      <w:rPr>
        <w:sz w:val="24"/>
        <w:szCs w:val="24"/>
      </w:rPr>
      <w:fldChar w:fldCharType="end"/>
    </w:r>
    <w:r w:rsidRPr="006719DC">
      <w:rPr>
        <w:sz w:val="24"/>
        <w:szCs w:val="24"/>
      </w:rPr>
      <w:t xml:space="preserve"> of </w:t>
    </w:r>
    <w:r>
      <w:rPr>
        <w:sz w:val="24"/>
        <w:szCs w:val="24"/>
      </w:rPr>
      <w:t>3</w:t>
    </w:r>
  </w:p>
  <w:p w14:paraId="55AA4798" w14:textId="77777777" w:rsidR="002542D4" w:rsidRPr="006719DC" w:rsidRDefault="002542D4">
    <w:pPr>
      <w:pStyle w:val="Footer"/>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77DA7" w14:textId="77777777" w:rsidR="00844770" w:rsidRDefault="00844770">
      <w:r>
        <w:separator/>
      </w:r>
    </w:p>
  </w:footnote>
  <w:footnote w:type="continuationSeparator" w:id="0">
    <w:p w14:paraId="6C15FE71" w14:textId="77777777" w:rsidR="00844770" w:rsidRDefault="00844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34947" w14:textId="77777777" w:rsidR="002542D4" w:rsidRPr="0094104D" w:rsidRDefault="002542D4" w:rsidP="0044749A">
    <w:pPr>
      <w:pStyle w:val="Header"/>
      <w:jc w:val="right"/>
      <w:rPr>
        <w:rFonts w:ascii="Courier New" w:hAnsi="Courier New" w:cs="Courier New"/>
        <w:sz w:val="24"/>
        <w:szCs w:val="24"/>
      </w:rPr>
    </w:pPr>
    <w:r>
      <w:rPr>
        <w:rFonts w:ascii="Courier New" w:hAnsi="Courier New" w:cs="Courier New"/>
        <w:noProof/>
        <w:sz w:val="24"/>
        <w:szCs w:val="24"/>
      </w:rPr>
      <mc:AlternateContent>
        <mc:Choice Requires="wps">
          <w:drawing>
            <wp:anchor distT="0" distB="0" distL="114300" distR="114300" simplePos="0" relativeHeight="251657216" behindDoc="0" locked="0" layoutInCell="1" allowOverlap="1" wp14:anchorId="340BC139" wp14:editId="42008598">
              <wp:simplePos x="0" y="0"/>
              <wp:positionH relativeFrom="column">
                <wp:posOffset>4052455</wp:posOffset>
              </wp:positionH>
              <wp:positionV relativeFrom="paragraph">
                <wp:posOffset>-318655</wp:posOffset>
              </wp:positionV>
              <wp:extent cx="1946563" cy="284019"/>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1946563" cy="284019"/>
                      </a:xfrm>
                      <a:prstGeom prst="rect">
                        <a:avLst/>
                      </a:prstGeom>
                      <a:solidFill>
                        <a:schemeClr val="lt1"/>
                      </a:solidFill>
                      <a:ln w="6350">
                        <a:noFill/>
                      </a:ln>
                    </wps:spPr>
                    <wps:txbx>
                      <w:txbxContent>
                        <w:p w14:paraId="00EF27D8" w14:textId="77777777" w:rsidR="002542D4" w:rsidRPr="0062720F" w:rsidRDefault="002542D4">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0BC139" id="_x0000_t202" coordsize="21600,21600" o:spt="202" path="m,l,21600r21600,l21600,xe">
              <v:stroke joinstyle="miter"/>
              <v:path gradientshapeok="t" o:connecttype="rect"/>
            </v:shapetype>
            <v:shape id="Text Box 1" o:spid="_x0000_s1027" type="#_x0000_t202" style="position:absolute;left:0;text-align:left;margin-left:319.1pt;margin-top:-25.1pt;width:153.2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" fillcolor="white [3201]" stroked="f" strokeweight=".5pt">
              <v:textbox>
                <w:txbxContent>
                  <w:p w14:paraId="00EF27D8" w14:textId="77777777" w:rsidR="002542D4" w:rsidRPr="0062720F" w:rsidRDefault="002542D4">
                    <w:pPr>
                      <w:rPr>
                        <w:sz w:val="24"/>
                        <w:szCs w:val="24"/>
                      </w:rPr>
                    </w:pPr>
                  </w:p>
                </w:txbxContent>
              </v:textbox>
            </v:shape>
          </w:pict>
        </mc:Fallback>
      </mc:AlternateContent>
    </w:r>
    <w:r>
      <w:rPr>
        <w:rFonts w:ascii="Courier New" w:hAnsi="Courier New" w:cs="Courier New"/>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D7745"/>
    <w:multiLevelType w:val="hybridMultilevel"/>
    <w:tmpl w:val="C7604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631EBB"/>
    <w:multiLevelType w:val="hybridMultilevel"/>
    <w:tmpl w:val="6366C9B4"/>
    <w:lvl w:ilvl="0" w:tplc="8558F0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3F416C"/>
    <w:multiLevelType w:val="hybridMultilevel"/>
    <w:tmpl w:val="F8E02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5B7050"/>
    <w:multiLevelType w:val="hybridMultilevel"/>
    <w:tmpl w:val="A320B51C"/>
    <w:lvl w:ilvl="0" w:tplc="51BAD1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3NjY1tzQ0MzYBMpR0lIJTi4sz8/NACsxqAVhH3ZAsAAAA"/>
  </w:docVars>
  <w:rsids>
    <w:rsidRoot w:val="00801114"/>
    <w:rsid w:val="000517EC"/>
    <w:rsid w:val="00066AD1"/>
    <w:rsid w:val="000C269F"/>
    <w:rsid w:val="000E1459"/>
    <w:rsid w:val="000F1FCD"/>
    <w:rsid w:val="00101E6D"/>
    <w:rsid w:val="001737DA"/>
    <w:rsid w:val="00195A65"/>
    <w:rsid w:val="001E73DD"/>
    <w:rsid w:val="001F5032"/>
    <w:rsid w:val="001F51FD"/>
    <w:rsid w:val="00236FAA"/>
    <w:rsid w:val="002417B2"/>
    <w:rsid w:val="0024329D"/>
    <w:rsid w:val="002542D4"/>
    <w:rsid w:val="00261A0C"/>
    <w:rsid w:val="002764ED"/>
    <w:rsid w:val="00282763"/>
    <w:rsid w:val="00284645"/>
    <w:rsid w:val="002A2FB1"/>
    <w:rsid w:val="002D42C3"/>
    <w:rsid w:val="002E2FA6"/>
    <w:rsid w:val="003A0335"/>
    <w:rsid w:val="003A0DE3"/>
    <w:rsid w:val="003D2565"/>
    <w:rsid w:val="003F4E18"/>
    <w:rsid w:val="004579F6"/>
    <w:rsid w:val="004C0BF7"/>
    <w:rsid w:val="004E2941"/>
    <w:rsid w:val="004E41C5"/>
    <w:rsid w:val="004E4680"/>
    <w:rsid w:val="00531874"/>
    <w:rsid w:val="0057246A"/>
    <w:rsid w:val="005A11D3"/>
    <w:rsid w:val="005A7D76"/>
    <w:rsid w:val="005E3A57"/>
    <w:rsid w:val="005F19DE"/>
    <w:rsid w:val="0060495C"/>
    <w:rsid w:val="00611976"/>
    <w:rsid w:val="00643D71"/>
    <w:rsid w:val="00680B91"/>
    <w:rsid w:val="006A7556"/>
    <w:rsid w:val="006E7299"/>
    <w:rsid w:val="006F470C"/>
    <w:rsid w:val="00727A24"/>
    <w:rsid w:val="00737BB2"/>
    <w:rsid w:val="007A436A"/>
    <w:rsid w:val="007F5A11"/>
    <w:rsid w:val="00801114"/>
    <w:rsid w:val="0082626A"/>
    <w:rsid w:val="00835BFC"/>
    <w:rsid w:val="0084097F"/>
    <w:rsid w:val="00844770"/>
    <w:rsid w:val="008743E3"/>
    <w:rsid w:val="00887603"/>
    <w:rsid w:val="008B0A0A"/>
    <w:rsid w:val="008D32E5"/>
    <w:rsid w:val="008F7C37"/>
    <w:rsid w:val="009657D6"/>
    <w:rsid w:val="0099135C"/>
    <w:rsid w:val="009B2E60"/>
    <w:rsid w:val="009E6C3B"/>
    <w:rsid w:val="009F1176"/>
    <w:rsid w:val="00A21E86"/>
    <w:rsid w:val="00A352B7"/>
    <w:rsid w:val="00A4011D"/>
    <w:rsid w:val="00A71E9F"/>
    <w:rsid w:val="00AA1519"/>
    <w:rsid w:val="00AB2648"/>
    <w:rsid w:val="00AB7BAA"/>
    <w:rsid w:val="00AC37F4"/>
    <w:rsid w:val="00B213EA"/>
    <w:rsid w:val="00B40139"/>
    <w:rsid w:val="00B82338"/>
    <w:rsid w:val="00BD3A97"/>
    <w:rsid w:val="00C21152"/>
    <w:rsid w:val="00C36933"/>
    <w:rsid w:val="00C4441E"/>
    <w:rsid w:val="00C63DBA"/>
    <w:rsid w:val="00C8479F"/>
    <w:rsid w:val="00CE5E31"/>
    <w:rsid w:val="00CE6D93"/>
    <w:rsid w:val="00D159B3"/>
    <w:rsid w:val="00D16776"/>
    <w:rsid w:val="00D31F9A"/>
    <w:rsid w:val="00D42AB1"/>
    <w:rsid w:val="00D62A81"/>
    <w:rsid w:val="00D8139F"/>
    <w:rsid w:val="00D8287A"/>
    <w:rsid w:val="00DB2537"/>
    <w:rsid w:val="00DB69E9"/>
    <w:rsid w:val="00DC25D2"/>
    <w:rsid w:val="00DC5FA3"/>
    <w:rsid w:val="00DE44C6"/>
    <w:rsid w:val="00DF1378"/>
    <w:rsid w:val="00DF49A6"/>
    <w:rsid w:val="00EB73B2"/>
    <w:rsid w:val="00EC572F"/>
    <w:rsid w:val="00ED0F66"/>
    <w:rsid w:val="00F162E0"/>
    <w:rsid w:val="00F22EE8"/>
    <w:rsid w:val="00F30477"/>
    <w:rsid w:val="00F35083"/>
    <w:rsid w:val="00F45C01"/>
    <w:rsid w:val="00F67496"/>
    <w:rsid w:val="00F746BD"/>
    <w:rsid w:val="00F96803"/>
    <w:rsid w:val="00FB216E"/>
    <w:rsid w:val="00FC12D0"/>
    <w:rsid w:val="00FD4E2E"/>
    <w:rsid w:val="00FD5C0E"/>
    <w:rsid w:val="00FE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7E684465"/>
  <w15:docId w15:val="{0DD3F971-B082-43FC-BDD3-E6A96BD6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3EA"/>
  </w:style>
  <w:style w:type="paragraph" w:styleId="Heading1">
    <w:name w:val="heading 1"/>
    <w:basedOn w:val="Normal"/>
    <w:next w:val="Normal"/>
    <w:link w:val="Heading1Char"/>
    <w:qFormat/>
    <w:rsid w:val="00B213EA"/>
    <w:pPr>
      <w:keepNext/>
      <w:outlineLvl w:val="0"/>
    </w:pPr>
    <w:rPr>
      <w:sz w:val="24"/>
    </w:rPr>
  </w:style>
  <w:style w:type="paragraph" w:styleId="Heading2">
    <w:name w:val="heading 2"/>
    <w:basedOn w:val="Normal"/>
    <w:next w:val="Normal"/>
    <w:link w:val="Heading2Char"/>
    <w:qFormat/>
    <w:rsid w:val="00B213EA"/>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213EA"/>
    <w:pPr>
      <w:ind w:left="1440" w:hanging="1440"/>
    </w:pPr>
    <w:rPr>
      <w:sz w:val="24"/>
    </w:rPr>
  </w:style>
  <w:style w:type="paragraph" w:styleId="BlockText">
    <w:name w:val="Block Text"/>
    <w:basedOn w:val="Normal"/>
    <w:rsid w:val="00B213EA"/>
    <w:pPr>
      <w:ind w:left="720" w:right="720"/>
    </w:pPr>
    <w:rPr>
      <w:b/>
      <w:sz w:val="24"/>
    </w:rPr>
  </w:style>
  <w:style w:type="paragraph" w:styleId="Header">
    <w:name w:val="header"/>
    <w:basedOn w:val="Normal"/>
    <w:link w:val="HeaderChar"/>
    <w:rsid w:val="00B213EA"/>
    <w:pPr>
      <w:tabs>
        <w:tab w:val="center" w:pos="4320"/>
        <w:tab w:val="right" w:pos="8640"/>
      </w:tabs>
    </w:pPr>
  </w:style>
  <w:style w:type="paragraph" w:styleId="Footer">
    <w:name w:val="footer"/>
    <w:basedOn w:val="Normal"/>
    <w:link w:val="FooterChar"/>
    <w:uiPriority w:val="99"/>
    <w:rsid w:val="00B213EA"/>
    <w:pPr>
      <w:tabs>
        <w:tab w:val="center" w:pos="4320"/>
        <w:tab w:val="right" w:pos="8640"/>
      </w:tabs>
    </w:pPr>
  </w:style>
  <w:style w:type="paragraph" w:styleId="BodyText">
    <w:name w:val="Body Text"/>
    <w:basedOn w:val="Normal"/>
    <w:rsid w:val="00801114"/>
    <w:pPr>
      <w:spacing w:after="120"/>
    </w:pPr>
  </w:style>
  <w:style w:type="paragraph" w:styleId="BalloonText">
    <w:name w:val="Balloon Text"/>
    <w:basedOn w:val="Normal"/>
    <w:semiHidden/>
    <w:rsid w:val="004E41C5"/>
    <w:rPr>
      <w:rFonts w:ascii="Tahoma" w:hAnsi="Tahoma" w:cs="Tahoma"/>
      <w:sz w:val="16"/>
      <w:szCs w:val="16"/>
    </w:rPr>
  </w:style>
  <w:style w:type="character" w:customStyle="1" w:styleId="HeaderChar">
    <w:name w:val="Header Char"/>
    <w:basedOn w:val="DefaultParagraphFont"/>
    <w:link w:val="Header"/>
    <w:uiPriority w:val="99"/>
    <w:rsid w:val="009F1176"/>
  </w:style>
  <w:style w:type="character" w:customStyle="1" w:styleId="Heading1Char">
    <w:name w:val="Heading 1 Char"/>
    <w:basedOn w:val="DefaultParagraphFont"/>
    <w:link w:val="Heading1"/>
    <w:rsid w:val="009F1176"/>
    <w:rPr>
      <w:sz w:val="24"/>
    </w:rPr>
  </w:style>
  <w:style w:type="character" w:customStyle="1" w:styleId="Heading2Char">
    <w:name w:val="Heading 2 Char"/>
    <w:basedOn w:val="DefaultParagraphFont"/>
    <w:link w:val="Heading2"/>
    <w:rsid w:val="009F1176"/>
    <w:rPr>
      <w:b/>
      <w:sz w:val="24"/>
    </w:rPr>
  </w:style>
  <w:style w:type="character" w:customStyle="1" w:styleId="BodyTextIndentChar">
    <w:name w:val="Body Text Indent Char"/>
    <w:basedOn w:val="DefaultParagraphFont"/>
    <w:link w:val="BodyTextIndent"/>
    <w:rsid w:val="009F1176"/>
    <w:rPr>
      <w:sz w:val="24"/>
    </w:rPr>
  </w:style>
  <w:style w:type="character" w:styleId="CommentReference">
    <w:name w:val="annotation reference"/>
    <w:basedOn w:val="DefaultParagraphFont"/>
    <w:semiHidden/>
    <w:unhideWhenUsed/>
    <w:rsid w:val="00195A65"/>
    <w:rPr>
      <w:sz w:val="16"/>
      <w:szCs w:val="16"/>
    </w:rPr>
  </w:style>
  <w:style w:type="paragraph" w:styleId="CommentText">
    <w:name w:val="annotation text"/>
    <w:basedOn w:val="Normal"/>
    <w:link w:val="CommentTextChar"/>
    <w:semiHidden/>
    <w:unhideWhenUsed/>
    <w:rsid w:val="00195A65"/>
  </w:style>
  <w:style w:type="character" w:customStyle="1" w:styleId="CommentTextChar">
    <w:name w:val="Comment Text Char"/>
    <w:basedOn w:val="DefaultParagraphFont"/>
    <w:link w:val="CommentText"/>
    <w:semiHidden/>
    <w:rsid w:val="00195A65"/>
  </w:style>
  <w:style w:type="paragraph" w:styleId="CommentSubject">
    <w:name w:val="annotation subject"/>
    <w:basedOn w:val="CommentText"/>
    <w:next w:val="CommentText"/>
    <w:link w:val="CommentSubjectChar"/>
    <w:semiHidden/>
    <w:unhideWhenUsed/>
    <w:rsid w:val="00195A65"/>
    <w:rPr>
      <w:b/>
      <w:bCs/>
    </w:rPr>
  </w:style>
  <w:style w:type="character" w:customStyle="1" w:styleId="CommentSubjectChar">
    <w:name w:val="Comment Subject Char"/>
    <w:basedOn w:val="CommentTextChar"/>
    <w:link w:val="CommentSubject"/>
    <w:semiHidden/>
    <w:rsid w:val="00195A65"/>
    <w:rPr>
      <w:b/>
      <w:bCs/>
    </w:rPr>
  </w:style>
  <w:style w:type="paragraph" w:styleId="Revision">
    <w:name w:val="Revision"/>
    <w:hidden/>
    <w:uiPriority w:val="99"/>
    <w:semiHidden/>
    <w:rsid w:val="00C21152"/>
  </w:style>
  <w:style w:type="paragraph" w:styleId="Title">
    <w:name w:val="Title"/>
    <w:basedOn w:val="Normal"/>
    <w:link w:val="TitleChar"/>
    <w:qFormat/>
    <w:rsid w:val="002542D4"/>
    <w:pPr>
      <w:jc w:val="center"/>
    </w:pPr>
    <w:rPr>
      <w:rFonts w:ascii="Arial" w:hAnsi="Arial"/>
      <w:b/>
    </w:rPr>
  </w:style>
  <w:style w:type="character" w:customStyle="1" w:styleId="TitleChar">
    <w:name w:val="Title Char"/>
    <w:basedOn w:val="DefaultParagraphFont"/>
    <w:link w:val="Title"/>
    <w:rsid w:val="002542D4"/>
    <w:rPr>
      <w:rFonts w:ascii="Arial" w:hAnsi="Arial"/>
      <w:b/>
    </w:rPr>
  </w:style>
  <w:style w:type="character" w:styleId="PageNumber">
    <w:name w:val="page number"/>
    <w:basedOn w:val="DefaultParagraphFont"/>
    <w:rsid w:val="002542D4"/>
  </w:style>
  <w:style w:type="character" w:customStyle="1" w:styleId="FooterChar">
    <w:name w:val="Footer Char"/>
    <w:basedOn w:val="DefaultParagraphFont"/>
    <w:link w:val="Footer"/>
    <w:uiPriority w:val="99"/>
    <w:rsid w:val="002542D4"/>
  </w:style>
  <w:style w:type="paragraph" w:styleId="ListParagraph">
    <w:name w:val="List Paragraph"/>
    <w:basedOn w:val="Normal"/>
    <w:uiPriority w:val="34"/>
    <w:qFormat/>
    <w:rsid w:val="00254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458642">
      <w:bodyDiv w:val="1"/>
      <w:marLeft w:val="0"/>
      <w:marRight w:val="0"/>
      <w:marTop w:val="0"/>
      <w:marBottom w:val="0"/>
      <w:divBdr>
        <w:top w:val="none" w:sz="0" w:space="0" w:color="auto"/>
        <w:left w:val="none" w:sz="0" w:space="0" w:color="auto"/>
        <w:bottom w:val="none" w:sz="0" w:space="0" w:color="auto"/>
        <w:right w:val="none" w:sz="0" w:space="0" w:color="auto"/>
      </w:divBdr>
    </w:div>
    <w:div w:id="145726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B338-72EC-48EC-822C-339BE3FA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 DEGREE PROGRAM (BACHELOR’S DEGREE)</vt:lpstr>
    </vt:vector>
  </TitlesOfParts>
  <Company>Texas A&amp;M University System</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DEGREE PROGRAM (BACHELOR’S DEGREE)</dc:title>
  <dc:creator>Verna L. Dewees</dc:creator>
  <cp:lastModifiedBy>Pappas, Sheri A.</cp:lastModifiedBy>
  <cp:revision>5</cp:revision>
  <cp:lastPrinted>2010-12-28T19:06:00Z</cp:lastPrinted>
  <dcterms:created xsi:type="dcterms:W3CDTF">2018-10-01T16:14:00Z</dcterms:created>
  <dcterms:modified xsi:type="dcterms:W3CDTF">2019-01-31T21:23:00Z</dcterms:modified>
</cp:coreProperties>
</file>