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DAD47" w14:textId="75E6919F" w:rsidR="00F16EF0" w:rsidRPr="00F16EF0" w:rsidRDefault="00F16EF0" w:rsidP="00626E2D">
      <w:pPr>
        <w:pStyle w:val="Header"/>
        <w:jc w:val="center"/>
        <w:rPr>
          <w:b/>
          <w:sz w:val="24"/>
          <w:szCs w:val="24"/>
        </w:rPr>
      </w:pPr>
      <w:bookmarkStart w:id="0" w:name="_GoBack"/>
      <w:bookmarkEnd w:id="0"/>
      <w:r w:rsidRPr="00F16EF0">
        <w:rPr>
          <w:b/>
          <w:sz w:val="24"/>
          <w:szCs w:val="24"/>
        </w:rPr>
        <w:t>Texas A&amp;M University</w:t>
      </w:r>
    </w:p>
    <w:p w14:paraId="414D4B05" w14:textId="77777777" w:rsidR="00F16EF0" w:rsidRPr="0042307B" w:rsidRDefault="00F16EF0" w:rsidP="00626E2D">
      <w:pPr>
        <w:pStyle w:val="Header"/>
        <w:jc w:val="center"/>
        <w:rPr>
          <w:b/>
          <w:sz w:val="24"/>
          <w:szCs w:val="24"/>
        </w:rPr>
      </w:pPr>
    </w:p>
    <w:p w14:paraId="4D43CA92" w14:textId="77777777" w:rsidR="00F16EF0" w:rsidRPr="00E65FB3" w:rsidRDefault="00C920B4" w:rsidP="00626E2D">
      <w:pPr>
        <w:pStyle w:val="Header"/>
        <w:jc w:val="center"/>
        <w:rPr>
          <w:sz w:val="24"/>
          <w:szCs w:val="24"/>
        </w:rPr>
      </w:pPr>
      <w:r w:rsidRPr="00E65FB3">
        <w:rPr>
          <w:sz w:val="24"/>
          <w:szCs w:val="24"/>
        </w:rPr>
        <w:t>Master of Science</w:t>
      </w:r>
    </w:p>
    <w:p w14:paraId="3CBF0F04" w14:textId="77777777" w:rsidR="00F16EF0" w:rsidRPr="00E65FB3" w:rsidRDefault="00F16EF0" w:rsidP="00626E2D">
      <w:pPr>
        <w:pStyle w:val="Header"/>
        <w:jc w:val="center"/>
        <w:rPr>
          <w:sz w:val="24"/>
          <w:szCs w:val="24"/>
        </w:rPr>
      </w:pPr>
      <w:proofErr w:type="gramStart"/>
      <w:r w:rsidRPr="00E65FB3">
        <w:rPr>
          <w:sz w:val="24"/>
          <w:szCs w:val="24"/>
        </w:rPr>
        <w:t>with</w:t>
      </w:r>
      <w:proofErr w:type="gramEnd"/>
      <w:r w:rsidRPr="00E65FB3">
        <w:rPr>
          <w:sz w:val="24"/>
          <w:szCs w:val="24"/>
        </w:rPr>
        <w:t xml:space="preserve"> a major in </w:t>
      </w:r>
      <w:r w:rsidR="00F64F11" w:rsidRPr="00E65FB3">
        <w:rPr>
          <w:sz w:val="24"/>
          <w:szCs w:val="24"/>
        </w:rPr>
        <w:t>Engineering Technology</w:t>
      </w:r>
      <w:r w:rsidRPr="00E65FB3">
        <w:rPr>
          <w:sz w:val="24"/>
          <w:szCs w:val="24"/>
        </w:rPr>
        <w:t xml:space="preserve"> </w:t>
      </w:r>
    </w:p>
    <w:p w14:paraId="08AFED57" w14:textId="74CB9826" w:rsidR="00F16EF0" w:rsidRPr="00E65FB3" w:rsidRDefault="00F16EF0" w:rsidP="00626E2D">
      <w:pPr>
        <w:pStyle w:val="Header"/>
        <w:jc w:val="center"/>
        <w:rPr>
          <w:sz w:val="24"/>
          <w:szCs w:val="24"/>
        </w:rPr>
      </w:pPr>
      <w:r w:rsidRPr="00E65FB3">
        <w:rPr>
          <w:sz w:val="24"/>
          <w:szCs w:val="24"/>
        </w:rPr>
        <w:t xml:space="preserve">(CIP </w:t>
      </w:r>
      <w:r w:rsidR="00F64F11" w:rsidRPr="00E65FB3">
        <w:rPr>
          <w:sz w:val="24"/>
          <w:szCs w:val="24"/>
        </w:rPr>
        <w:t>15.000</w:t>
      </w:r>
      <w:r w:rsidR="006043F0">
        <w:rPr>
          <w:sz w:val="24"/>
          <w:szCs w:val="24"/>
        </w:rPr>
        <w:t>0</w:t>
      </w:r>
      <w:r w:rsidRPr="00E65FB3">
        <w:rPr>
          <w:sz w:val="24"/>
          <w:szCs w:val="24"/>
        </w:rPr>
        <w:t>.</w:t>
      </w:r>
      <w:r w:rsidR="00F64F11" w:rsidRPr="00E65FB3">
        <w:rPr>
          <w:sz w:val="24"/>
          <w:szCs w:val="24"/>
        </w:rPr>
        <w:t>00</w:t>
      </w:r>
      <w:r w:rsidRPr="00E65FB3">
        <w:rPr>
          <w:sz w:val="24"/>
          <w:szCs w:val="24"/>
        </w:rPr>
        <w:t>)</w:t>
      </w:r>
    </w:p>
    <w:p w14:paraId="6030D0C2" w14:textId="77777777" w:rsidR="00F16EF0" w:rsidRPr="00844E52" w:rsidRDefault="00F16EF0" w:rsidP="00626E2D">
      <w:pPr>
        <w:pStyle w:val="Header"/>
        <w:jc w:val="center"/>
        <w:rPr>
          <w:sz w:val="24"/>
          <w:szCs w:val="24"/>
        </w:rPr>
      </w:pPr>
    </w:p>
    <w:p w14:paraId="4BC59E7C" w14:textId="77777777" w:rsidR="00F16EF0" w:rsidRPr="00844E52" w:rsidRDefault="00F16EF0" w:rsidP="00626E2D">
      <w:pPr>
        <w:pStyle w:val="Header"/>
        <w:jc w:val="center"/>
        <w:rPr>
          <w:b/>
          <w:sz w:val="24"/>
          <w:szCs w:val="24"/>
        </w:rPr>
      </w:pPr>
      <w:r w:rsidRPr="00844E52">
        <w:rPr>
          <w:b/>
          <w:sz w:val="24"/>
          <w:szCs w:val="24"/>
        </w:rPr>
        <w:t>Program Review Outline</w:t>
      </w:r>
    </w:p>
    <w:p w14:paraId="775DC61F" w14:textId="77777777" w:rsidR="00F16EF0" w:rsidRPr="00844E52" w:rsidRDefault="00F16EF0" w:rsidP="00626E2D">
      <w:pPr>
        <w:pStyle w:val="Header"/>
        <w:pBdr>
          <w:top w:val="triple" w:sz="4" w:space="1" w:color="auto"/>
        </w:pBdr>
        <w:jc w:val="center"/>
        <w:rPr>
          <w:sz w:val="24"/>
          <w:szCs w:val="24"/>
        </w:rPr>
      </w:pPr>
    </w:p>
    <w:p w14:paraId="6386939D" w14:textId="4695FFDF" w:rsidR="00F16EF0" w:rsidRDefault="00F16EF0" w:rsidP="00626E2D">
      <w:pPr>
        <w:pStyle w:val="Title"/>
        <w:rPr>
          <w:rFonts w:ascii="Times New Roman" w:hAnsi="Times New Roman"/>
          <w:sz w:val="24"/>
          <w:szCs w:val="24"/>
        </w:rPr>
      </w:pPr>
      <w:r w:rsidRPr="00844E52">
        <w:rPr>
          <w:rFonts w:ascii="Times New Roman" w:hAnsi="Times New Roman"/>
          <w:sz w:val="24"/>
          <w:szCs w:val="24"/>
        </w:rPr>
        <w:t>BACKGROUND &amp; PROGRAM DESCRIPTION</w:t>
      </w:r>
    </w:p>
    <w:p w14:paraId="0385F6FE" w14:textId="77777777" w:rsidR="0074176C" w:rsidRDefault="0074176C" w:rsidP="00626E2D">
      <w:pPr>
        <w:pStyle w:val="Title"/>
        <w:rPr>
          <w:rFonts w:ascii="Times New Roman" w:hAnsi="Times New Roman"/>
          <w:sz w:val="24"/>
          <w:szCs w:val="24"/>
        </w:rPr>
      </w:pPr>
    </w:p>
    <w:p w14:paraId="0AB5E3F7" w14:textId="77777777" w:rsidR="00F16EF0" w:rsidRPr="00F97817" w:rsidRDefault="00F16EF0" w:rsidP="00D143CA">
      <w:pPr>
        <w:pStyle w:val="Title"/>
        <w:jc w:val="both"/>
        <w:rPr>
          <w:rFonts w:ascii="Times New Roman" w:hAnsi="Times New Roman"/>
          <w:sz w:val="24"/>
          <w:szCs w:val="24"/>
        </w:rPr>
      </w:pPr>
      <w:r w:rsidRPr="00F97817">
        <w:rPr>
          <w:rFonts w:ascii="Times New Roman" w:hAnsi="Times New Roman"/>
          <w:b w:val="0"/>
          <w:sz w:val="24"/>
          <w:szCs w:val="24"/>
        </w:rPr>
        <w:t>Administrative Unit:</w:t>
      </w:r>
      <w:r w:rsidRPr="00F97817">
        <w:rPr>
          <w:rFonts w:ascii="Times New Roman" w:hAnsi="Times New Roman"/>
          <w:sz w:val="24"/>
          <w:szCs w:val="24"/>
        </w:rPr>
        <w:t xml:space="preserve">  </w:t>
      </w:r>
      <w:r w:rsidRPr="00F97817">
        <w:rPr>
          <w:rFonts w:ascii="Times New Roman" w:hAnsi="Times New Roman"/>
          <w:b w:val="0"/>
          <w:sz w:val="24"/>
          <w:szCs w:val="24"/>
        </w:rPr>
        <w:t xml:space="preserve">College </w:t>
      </w:r>
      <w:r w:rsidR="00F64F11" w:rsidRPr="00F97817">
        <w:rPr>
          <w:rFonts w:ascii="Times New Roman" w:hAnsi="Times New Roman"/>
          <w:b w:val="0"/>
          <w:sz w:val="24"/>
          <w:szCs w:val="24"/>
        </w:rPr>
        <w:t>of Engineering, Department of Engineering Technology and Industrial Distribution</w:t>
      </w:r>
      <w:r w:rsidR="00F97817">
        <w:rPr>
          <w:rFonts w:ascii="Times New Roman" w:hAnsi="Times New Roman"/>
          <w:b w:val="0"/>
          <w:sz w:val="24"/>
          <w:szCs w:val="24"/>
        </w:rPr>
        <w:t xml:space="preserve"> (ETID)</w:t>
      </w:r>
    </w:p>
    <w:p w14:paraId="7EF71F38" w14:textId="77777777" w:rsidR="00F16EF0" w:rsidRPr="00F97817" w:rsidRDefault="00F16EF0" w:rsidP="00626E2D">
      <w:pPr>
        <w:rPr>
          <w:sz w:val="24"/>
          <w:szCs w:val="24"/>
        </w:rPr>
      </w:pPr>
    </w:p>
    <w:p w14:paraId="697592CA" w14:textId="3D8AABAA" w:rsidR="00F64F11" w:rsidRPr="00D143CA" w:rsidRDefault="00F64F11" w:rsidP="00D143CA">
      <w:pPr>
        <w:jc w:val="both"/>
        <w:rPr>
          <w:sz w:val="24"/>
          <w:szCs w:val="24"/>
        </w:rPr>
      </w:pPr>
      <w:r w:rsidRPr="00D143CA">
        <w:rPr>
          <w:sz w:val="24"/>
          <w:szCs w:val="24"/>
        </w:rPr>
        <w:t xml:space="preserve">The proposed </w:t>
      </w:r>
      <w:r w:rsidR="00F97817">
        <w:rPr>
          <w:sz w:val="24"/>
          <w:szCs w:val="24"/>
        </w:rPr>
        <w:t>Master of Science in Engineering Technol</w:t>
      </w:r>
      <w:r w:rsidR="00576429">
        <w:rPr>
          <w:sz w:val="24"/>
          <w:szCs w:val="24"/>
        </w:rPr>
        <w:t>o</w:t>
      </w:r>
      <w:r w:rsidR="00F97817">
        <w:rPr>
          <w:sz w:val="24"/>
          <w:szCs w:val="24"/>
        </w:rPr>
        <w:t>gy (</w:t>
      </w:r>
      <w:r w:rsidRPr="00D143CA">
        <w:rPr>
          <w:sz w:val="24"/>
          <w:szCs w:val="24"/>
        </w:rPr>
        <w:t>M</w:t>
      </w:r>
      <w:r w:rsidR="006043F0">
        <w:rPr>
          <w:sz w:val="24"/>
          <w:szCs w:val="24"/>
        </w:rPr>
        <w:t>.</w:t>
      </w:r>
      <w:r w:rsidRPr="00D143CA">
        <w:rPr>
          <w:sz w:val="24"/>
          <w:szCs w:val="24"/>
        </w:rPr>
        <w:t>S</w:t>
      </w:r>
      <w:r w:rsidR="006043F0">
        <w:rPr>
          <w:sz w:val="24"/>
          <w:szCs w:val="24"/>
        </w:rPr>
        <w:t>.</w:t>
      </w:r>
      <w:r w:rsidRPr="00D143CA">
        <w:rPr>
          <w:sz w:val="24"/>
          <w:szCs w:val="24"/>
        </w:rPr>
        <w:t>E</w:t>
      </w:r>
      <w:r w:rsidR="006043F0">
        <w:rPr>
          <w:sz w:val="24"/>
          <w:szCs w:val="24"/>
        </w:rPr>
        <w:t>.</w:t>
      </w:r>
      <w:r w:rsidRPr="00D143CA">
        <w:rPr>
          <w:sz w:val="24"/>
          <w:szCs w:val="24"/>
        </w:rPr>
        <w:t>T</w:t>
      </w:r>
      <w:r w:rsidR="006043F0">
        <w:rPr>
          <w:sz w:val="24"/>
          <w:szCs w:val="24"/>
        </w:rPr>
        <w:t>.</w:t>
      </w:r>
      <w:r w:rsidR="00F97817">
        <w:rPr>
          <w:sz w:val="24"/>
          <w:szCs w:val="24"/>
        </w:rPr>
        <w:t>)</w:t>
      </w:r>
      <w:r w:rsidRPr="00D143CA">
        <w:rPr>
          <w:sz w:val="24"/>
          <w:szCs w:val="24"/>
        </w:rPr>
        <w:t xml:space="preserve"> degree will initially offer two </w:t>
      </w:r>
      <w:r w:rsidR="008A6B59">
        <w:rPr>
          <w:sz w:val="24"/>
          <w:szCs w:val="24"/>
        </w:rPr>
        <w:t>concentrations</w:t>
      </w:r>
      <w:r w:rsidRPr="00D143CA">
        <w:rPr>
          <w:sz w:val="24"/>
          <w:szCs w:val="24"/>
        </w:rPr>
        <w:t xml:space="preserve">: </w:t>
      </w:r>
      <w:r w:rsidR="00F97817">
        <w:rPr>
          <w:sz w:val="24"/>
          <w:szCs w:val="24"/>
        </w:rPr>
        <w:t>1.</w:t>
      </w:r>
      <w:r w:rsidRPr="00D143CA">
        <w:rPr>
          <w:sz w:val="24"/>
          <w:szCs w:val="24"/>
        </w:rPr>
        <w:t xml:space="preserve"> Manufacturing and Mechanical Engineering Technology </w:t>
      </w:r>
      <w:r w:rsidR="00133AC6">
        <w:rPr>
          <w:sz w:val="24"/>
          <w:szCs w:val="24"/>
        </w:rPr>
        <w:t xml:space="preserve">(MMET) </w:t>
      </w:r>
      <w:r w:rsidR="00456823">
        <w:rPr>
          <w:sz w:val="24"/>
          <w:szCs w:val="24"/>
        </w:rPr>
        <w:t xml:space="preserve">which </w:t>
      </w:r>
      <w:r w:rsidR="00133AC6">
        <w:rPr>
          <w:sz w:val="24"/>
          <w:szCs w:val="24"/>
        </w:rPr>
        <w:t xml:space="preserve">will </w:t>
      </w:r>
      <w:r w:rsidR="00A17C44" w:rsidRPr="00D143CA">
        <w:rPr>
          <w:sz w:val="24"/>
          <w:szCs w:val="24"/>
        </w:rPr>
        <w:t xml:space="preserve">focus on </w:t>
      </w:r>
      <w:r w:rsidR="00133AC6">
        <w:rPr>
          <w:sz w:val="24"/>
          <w:szCs w:val="24"/>
        </w:rPr>
        <w:t>a</w:t>
      </w:r>
      <w:r w:rsidR="00D01693" w:rsidRPr="00D143CA">
        <w:rPr>
          <w:sz w:val="24"/>
          <w:szCs w:val="24"/>
        </w:rPr>
        <w:t xml:space="preserve">dvanced </w:t>
      </w:r>
      <w:r w:rsidR="00133AC6">
        <w:rPr>
          <w:sz w:val="24"/>
          <w:szCs w:val="24"/>
        </w:rPr>
        <w:t>m</w:t>
      </w:r>
      <w:r w:rsidR="00A17C44" w:rsidRPr="00D143CA">
        <w:rPr>
          <w:sz w:val="24"/>
          <w:szCs w:val="24"/>
        </w:rPr>
        <w:t xml:space="preserve">anufacturing </w:t>
      </w:r>
      <w:r w:rsidR="00133AC6">
        <w:rPr>
          <w:sz w:val="24"/>
          <w:szCs w:val="24"/>
        </w:rPr>
        <w:t>p</w:t>
      </w:r>
      <w:r w:rsidR="00A17C44" w:rsidRPr="00D143CA">
        <w:rPr>
          <w:sz w:val="24"/>
          <w:szCs w:val="24"/>
        </w:rPr>
        <w:t>rocess</w:t>
      </w:r>
      <w:r w:rsidR="00456823">
        <w:rPr>
          <w:sz w:val="24"/>
          <w:szCs w:val="24"/>
        </w:rPr>
        <w:t>es</w:t>
      </w:r>
      <w:r w:rsidR="005F389B">
        <w:rPr>
          <w:sz w:val="24"/>
          <w:szCs w:val="24"/>
        </w:rPr>
        <w:t>,</w:t>
      </w:r>
      <w:r w:rsidR="00A17C44" w:rsidRPr="00D143CA">
        <w:rPr>
          <w:sz w:val="24"/>
          <w:szCs w:val="24"/>
        </w:rPr>
        <w:t xml:space="preserve"> </w:t>
      </w:r>
      <w:r w:rsidRPr="00D143CA">
        <w:rPr>
          <w:sz w:val="24"/>
          <w:szCs w:val="24"/>
        </w:rPr>
        <w:t xml:space="preserve">and </w:t>
      </w:r>
      <w:r w:rsidR="00F97817">
        <w:rPr>
          <w:sz w:val="24"/>
          <w:szCs w:val="24"/>
        </w:rPr>
        <w:t>2.</w:t>
      </w:r>
      <w:r w:rsidRPr="00D143CA">
        <w:rPr>
          <w:sz w:val="24"/>
          <w:szCs w:val="24"/>
        </w:rPr>
        <w:t xml:space="preserve"> Electronic Systems Engineering Technology</w:t>
      </w:r>
      <w:r w:rsidR="00A17C44" w:rsidRPr="00D143CA">
        <w:rPr>
          <w:sz w:val="24"/>
          <w:szCs w:val="24"/>
        </w:rPr>
        <w:t xml:space="preserve"> </w:t>
      </w:r>
      <w:r w:rsidR="00133AC6">
        <w:rPr>
          <w:sz w:val="24"/>
          <w:szCs w:val="24"/>
        </w:rPr>
        <w:t xml:space="preserve">(ESET) </w:t>
      </w:r>
      <w:r w:rsidR="00456823">
        <w:rPr>
          <w:sz w:val="24"/>
          <w:szCs w:val="24"/>
        </w:rPr>
        <w:t xml:space="preserve">which </w:t>
      </w:r>
      <w:r w:rsidR="00133AC6">
        <w:rPr>
          <w:sz w:val="24"/>
          <w:szCs w:val="24"/>
        </w:rPr>
        <w:t>will</w:t>
      </w:r>
      <w:r w:rsidR="00936970">
        <w:rPr>
          <w:sz w:val="24"/>
          <w:szCs w:val="24"/>
        </w:rPr>
        <w:t xml:space="preserve"> </w:t>
      </w:r>
      <w:r w:rsidR="00A17C44" w:rsidRPr="00D143CA">
        <w:rPr>
          <w:sz w:val="24"/>
          <w:szCs w:val="24"/>
        </w:rPr>
        <w:t xml:space="preserve">focus on </w:t>
      </w:r>
      <w:r w:rsidR="00936970" w:rsidRPr="00D143CA">
        <w:rPr>
          <w:sz w:val="24"/>
          <w:szCs w:val="24"/>
        </w:rPr>
        <w:t>I</w:t>
      </w:r>
      <w:r w:rsidR="00936970">
        <w:rPr>
          <w:sz w:val="24"/>
          <w:szCs w:val="24"/>
        </w:rPr>
        <w:t>n</w:t>
      </w:r>
      <w:r w:rsidR="00936970" w:rsidRPr="00D143CA">
        <w:rPr>
          <w:sz w:val="24"/>
          <w:szCs w:val="24"/>
        </w:rPr>
        <w:t>dustrial</w:t>
      </w:r>
      <w:r w:rsidR="00A17C44" w:rsidRPr="00D143CA">
        <w:rPr>
          <w:sz w:val="24"/>
          <w:szCs w:val="24"/>
        </w:rPr>
        <w:t xml:space="preserve"> Internet of Things</w:t>
      </w:r>
      <w:r w:rsidR="00133AC6">
        <w:rPr>
          <w:sz w:val="24"/>
          <w:szCs w:val="24"/>
        </w:rPr>
        <w:t xml:space="preserve"> (</w:t>
      </w:r>
      <w:proofErr w:type="spellStart"/>
      <w:r w:rsidR="00133AC6">
        <w:rPr>
          <w:sz w:val="24"/>
          <w:szCs w:val="24"/>
        </w:rPr>
        <w:t>IIoT</w:t>
      </w:r>
      <w:proofErr w:type="spellEnd"/>
      <w:r w:rsidR="00133AC6">
        <w:rPr>
          <w:sz w:val="24"/>
          <w:szCs w:val="24"/>
        </w:rPr>
        <w:t>)</w:t>
      </w:r>
      <w:r w:rsidRPr="00D143CA">
        <w:rPr>
          <w:sz w:val="24"/>
          <w:szCs w:val="24"/>
        </w:rPr>
        <w:t>. The M</w:t>
      </w:r>
      <w:r w:rsidR="00140382">
        <w:rPr>
          <w:sz w:val="24"/>
          <w:szCs w:val="24"/>
        </w:rPr>
        <w:t>.</w:t>
      </w:r>
      <w:r w:rsidRPr="00D143CA">
        <w:rPr>
          <w:sz w:val="24"/>
          <w:szCs w:val="24"/>
        </w:rPr>
        <w:t>S</w:t>
      </w:r>
      <w:r w:rsidR="00140382">
        <w:rPr>
          <w:sz w:val="24"/>
          <w:szCs w:val="24"/>
        </w:rPr>
        <w:t>.</w:t>
      </w:r>
      <w:r w:rsidRPr="00D143CA">
        <w:rPr>
          <w:sz w:val="24"/>
          <w:szCs w:val="24"/>
        </w:rPr>
        <w:t>E</w:t>
      </w:r>
      <w:r w:rsidR="00140382">
        <w:rPr>
          <w:sz w:val="24"/>
          <w:szCs w:val="24"/>
        </w:rPr>
        <w:t>.</w:t>
      </w:r>
      <w:r w:rsidRPr="00D143CA">
        <w:rPr>
          <w:sz w:val="24"/>
          <w:szCs w:val="24"/>
        </w:rPr>
        <w:t>T</w:t>
      </w:r>
      <w:r w:rsidR="00140382">
        <w:rPr>
          <w:sz w:val="24"/>
          <w:szCs w:val="24"/>
        </w:rPr>
        <w:t>.</w:t>
      </w:r>
      <w:r w:rsidRPr="00D143CA">
        <w:rPr>
          <w:sz w:val="24"/>
          <w:szCs w:val="24"/>
        </w:rPr>
        <w:t xml:space="preserve"> will be a </w:t>
      </w:r>
      <w:r w:rsidR="00345D80">
        <w:rPr>
          <w:sz w:val="24"/>
          <w:szCs w:val="24"/>
        </w:rPr>
        <w:t>three</w:t>
      </w:r>
      <w:r w:rsidRPr="00D143CA">
        <w:rPr>
          <w:sz w:val="24"/>
          <w:szCs w:val="24"/>
        </w:rPr>
        <w:t xml:space="preserve">-semester resident program with a 30 </w:t>
      </w:r>
      <w:r w:rsidR="0075491D">
        <w:rPr>
          <w:sz w:val="24"/>
          <w:szCs w:val="24"/>
        </w:rPr>
        <w:t xml:space="preserve">semester </w:t>
      </w:r>
      <w:r w:rsidRPr="00D143CA">
        <w:rPr>
          <w:sz w:val="24"/>
          <w:szCs w:val="24"/>
        </w:rPr>
        <w:t>credit</w:t>
      </w:r>
      <w:r w:rsidR="0075491D">
        <w:rPr>
          <w:sz w:val="24"/>
          <w:szCs w:val="24"/>
        </w:rPr>
        <w:t xml:space="preserve"> </w:t>
      </w:r>
      <w:r w:rsidRPr="00D143CA">
        <w:rPr>
          <w:sz w:val="24"/>
          <w:szCs w:val="24"/>
        </w:rPr>
        <w:t>hour</w:t>
      </w:r>
      <w:r w:rsidR="0075491D">
        <w:rPr>
          <w:sz w:val="24"/>
          <w:szCs w:val="24"/>
        </w:rPr>
        <w:t xml:space="preserve"> </w:t>
      </w:r>
      <w:r w:rsidRPr="00D143CA">
        <w:rPr>
          <w:sz w:val="24"/>
          <w:szCs w:val="24"/>
        </w:rPr>
        <w:t xml:space="preserve">curriculum. </w:t>
      </w:r>
      <w:r w:rsidR="000078ED">
        <w:rPr>
          <w:sz w:val="24"/>
          <w:szCs w:val="24"/>
        </w:rPr>
        <w:t>T</w:t>
      </w:r>
      <w:r w:rsidRPr="00D143CA">
        <w:rPr>
          <w:sz w:val="24"/>
          <w:szCs w:val="24"/>
        </w:rPr>
        <w:t xml:space="preserve">he </w:t>
      </w:r>
      <w:r w:rsidR="000078ED">
        <w:rPr>
          <w:sz w:val="24"/>
          <w:szCs w:val="24"/>
        </w:rPr>
        <w:t xml:space="preserve">proposed </w:t>
      </w:r>
      <w:r w:rsidRPr="00D143CA">
        <w:rPr>
          <w:sz w:val="24"/>
          <w:szCs w:val="24"/>
        </w:rPr>
        <w:t xml:space="preserve">curriculum </w:t>
      </w:r>
      <w:r w:rsidR="000078ED">
        <w:rPr>
          <w:sz w:val="24"/>
          <w:szCs w:val="24"/>
        </w:rPr>
        <w:t>will</w:t>
      </w:r>
      <w:r w:rsidRPr="00D143CA">
        <w:rPr>
          <w:sz w:val="24"/>
          <w:szCs w:val="24"/>
        </w:rPr>
        <w:t xml:space="preserve"> include </w:t>
      </w:r>
      <w:r w:rsidR="005F389B" w:rsidRPr="00D143CA">
        <w:rPr>
          <w:sz w:val="24"/>
          <w:szCs w:val="24"/>
        </w:rPr>
        <w:t>three</w:t>
      </w:r>
      <w:r w:rsidRPr="00D143CA">
        <w:rPr>
          <w:sz w:val="24"/>
          <w:szCs w:val="24"/>
        </w:rPr>
        <w:t xml:space="preserve"> credits of foundational math or statistics and </w:t>
      </w:r>
      <w:r w:rsidR="005F389B" w:rsidRPr="00D143CA">
        <w:rPr>
          <w:sz w:val="24"/>
          <w:szCs w:val="24"/>
        </w:rPr>
        <w:t>three</w:t>
      </w:r>
      <w:r w:rsidRPr="00D143CA">
        <w:rPr>
          <w:sz w:val="24"/>
          <w:szCs w:val="24"/>
        </w:rPr>
        <w:t xml:space="preserve"> credits of engineering project and personnel supervision and management and/or </w:t>
      </w:r>
      <w:r w:rsidR="000078ED">
        <w:rPr>
          <w:sz w:val="24"/>
          <w:szCs w:val="24"/>
        </w:rPr>
        <w:t>t</w:t>
      </w:r>
      <w:r w:rsidRPr="00D143CA">
        <w:rPr>
          <w:sz w:val="24"/>
          <w:szCs w:val="24"/>
        </w:rPr>
        <w:t xml:space="preserve">echnical </w:t>
      </w:r>
      <w:r w:rsidR="000078ED">
        <w:rPr>
          <w:sz w:val="24"/>
          <w:szCs w:val="24"/>
        </w:rPr>
        <w:t>p</w:t>
      </w:r>
      <w:r w:rsidRPr="00D143CA">
        <w:rPr>
          <w:sz w:val="24"/>
          <w:szCs w:val="24"/>
        </w:rPr>
        <w:t xml:space="preserve">roject </w:t>
      </w:r>
      <w:r w:rsidR="000078ED">
        <w:rPr>
          <w:sz w:val="24"/>
          <w:szCs w:val="24"/>
        </w:rPr>
        <w:t>m</w:t>
      </w:r>
      <w:r w:rsidRPr="00D143CA">
        <w:rPr>
          <w:sz w:val="24"/>
          <w:szCs w:val="24"/>
        </w:rPr>
        <w:t xml:space="preserve">anagement depending upon </w:t>
      </w:r>
      <w:r w:rsidR="00133AC6">
        <w:rPr>
          <w:sz w:val="24"/>
          <w:szCs w:val="24"/>
        </w:rPr>
        <w:t xml:space="preserve">the </w:t>
      </w:r>
      <w:r w:rsidR="00E262D5">
        <w:rPr>
          <w:sz w:val="24"/>
          <w:szCs w:val="24"/>
        </w:rPr>
        <w:t>concentration</w:t>
      </w:r>
      <w:r w:rsidRPr="00D143CA">
        <w:rPr>
          <w:sz w:val="24"/>
          <w:szCs w:val="24"/>
        </w:rPr>
        <w:t xml:space="preserve"> selected. The programs will provide flexibility for working students; as the program matures, up to 50% of the course offerings could be available as distance education. Additionally, a number of advanced senior level undergraduate courses from the current </w:t>
      </w:r>
      <w:r w:rsidR="00F97817">
        <w:rPr>
          <w:sz w:val="24"/>
          <w:szCs w:val="24"/>
        </w:rPr>
        <w:t>Bachelor of Science (</w:t>
      </w:r>
      <w:r w:rsidRPr="00D143CA">
        <w:rPr>
          <w:sz w:val="24"/>
          <w:szCs w:val="24"/>
        </w:rPr>
        <w:t>B</w:t>
      </w:r>
      <w:r w:rsidR="00667062">
        <w:rPr>
          <w:sz w:val="24"/>
          <w:szCs w:val="24"/>
        </w:rPr>
        <w:t>.</w:t>
      </w:r>
      <w:r w:rsidRPr="00D143CA">
        <w:rPr>
          <w:sz w:val="24"/>
          <w:szCs w:val="24"/>
        </w:rPr>
        <w:t>S</w:t>
      </w:r>
      <w:r w:rsidR="00667062">
        <w:rPr>
          <w:sz w:val="24"/>
          <w:szCs w:val="24"/>
        </w:rPr>
        <w:t>.</w:t>
      </w:r>
      <w:r w:rsidR="00F97817">
        <w:rPr>
          <w:sz w:val="24"/>
          <w:szCs w:val="24"/>
        </w:rPr>
        <w:t>)</w:t>
      </w:r>
      <w:r w:rsidRPr="00D143CA">
        <w:rPr>
          <w:sz w:val="24"/>
          <w:szCs w:val="24"/>
        </w:rPr>
        <w:t xml:space="preserve"> programs may be stacked to encourage enrollment of students graduating from the undergraduate programs in</w:t>
      </w:r>
      <w:r w:rsidR="00F97817">
        <w:rPr>
          <w:sz w:val="24"/>
          <w:szCs w:val="24"/>
        </w:rPr>
        <w:t xml:space="preserve"> ETID</w:t>
      </w:r>
      <w:r w:rsidRPr="00D143CA">
        <w:rPr>
          <w:sz w:val="24"/>
          <w:szCs w:val="24"/>
        </w:rPr>
        <w:t>. A 4+1 track option for current undergraduate engineering technology students with the appropriate academic credentials is also under consideration. The program will also be offered to non-engineering technology majors with appropriate backgrounds.</w:t>
      </w:r>
    </w:p>
    <w:p w14:paraId="5E8D3B81" w14:textId="77777777" w:rsidR="00773E2D" w:rsidRPr="00D143CA" w:rsidRDefault="00773E2D" w:rsidP="00D143CA">
      <w:pPr>
        <w:jc w:val="both"/>
        <w:rPr>
          <w:sz w:val="24"/>
          <w:szCs w:val="24"/>
        </w:rPr>
      </w:pPr>
    </w:p>
    <w:p w14:paraId="6B30A1D2" w14:textId="77777777" w:rsidR="00F16EF0" w:rsidRPr="00D143CA" w:rsidRDefault="00F16EF0" w:rsidP="0074176C">
      <w:pPr>
        <w:spacing w:after="120"/>
        <w:rPr>
          <w:i/>
          <w:sz w:val="24"/>
          <w:szCs w:val="24"/>
        </w:rPr>
      </w:pPr>
      <w:r w:rsidRPr="00D143CA">
        <w:rPr>
          <w:i/>
          <w:sz w:val="24"/>
          <w:szCs w:val="24"/>
        </w:rPr>
        <w:t>Educational objectives</w:t>
      </w:r>
      <w:r w:rsidR="00E65FB3" w:rsidRPr="00D143CA">
        <w:rPr>
          <w:i/>
          <w:sz w:val="24"/>
          <w:szCs w:val="24"/>
        </w:rPr>
        <w:t>:</w:t>
      </w:r>
    </w:p>
    <w:p w14:paraId="41DB0343" w14:textId="7362CA49" w:rsidR="00F64F11" w:rsidRPr="00D143CA" w:rsidRDefault="00F64F11" w:rsidP="00D143CA">
      <w:pPr>
        <w:jc w:val="both"/>
        <w:rPr>
          <w:sz w:val="24"/>
          <w:szCs w:val="24"/>
        </w:rPr>
      </w:pPr>
      <w:r w:rsidRPr="00D143CA">
        <w:rPr>
          <w:sz w:val="24"/>
          <w:szCs w:val="24"/>
        </w:rPr>
        <w:t xml:space="preserve">The program learning objectives for the </w:t>
      </w:r>
      <w:r w:rsidR="007D203A">
        <w:rPr>
          <w:sz w:val="24"/>
          <w:szCs w:val="24"/>
        </w:rPr>
        <w:t>MMET</w:t>
      </w:r>
      <w:r w:rsidRPr="00D143CA">
        <w:rPr>
          <w:sz w:val="24"/>
          <w:szCs w:val="24"/>
        </w:rPr>
        <w:t xml:space="preserve"> </w:t>
      </w:r>
      <w:r w:rsidR="008A6B59">
        <w:rPr>
          <w:sz w:val="24"/>
          <w:szCs w:val="24"/>
        </w:rPr>
        <w:t>concentration</w:t>
      </w:r>
      <w:r w:rsidR="008A6B59" w:rsidRPr="00D143CA">
        <w:rPr>
          <w:sz w:val="24"/>
          <w:szCs w:val="24"/>
        </w:rPr>
        <w:t xml:space="preserve"> </w:t>
      </w:r>
      <w:r w:rsidR="00576429">
        <w:rPr>
          <w:sz w:val="24"/>
          <w:szCs w:val="24"/>
        </w:rPr>
        <w:t>are</w:t>
      </w:r>
      <w:r w:rsidRPr="00D143CA">
        <w:rPr>
          <w:sz w:val="24"/>
          <w:szCs w:val="24"/>
        </w:rPr>
        <w:t xml:space="preserve"> preparing students to: </w:t>
      </w:r>
    </w:p>
    <w:p w14:paraId="0A190B24" w14:textId="579F7DDA" w:rsidR="00F64F11" w:rsidRPr="00D143CA" w:rsidRDefault="00576429" w:rsidP="00F9781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d</w:t>
      </w:r>
      <w:r w:rsidR="00F64F11" w:rsidRPr="00D143CA">
        <w:rPr>
          <w:rFonts w:ascii="Times New Roman" w:hAnsi="Times New Roman" w:cs="Times New Roman"/>
          <w:sz w:val="24"/>
          <w:szCs w:val="24"/>
        </w:rPr>
        <w:t>emonstrate advanced technical knowledge in product design, advanced manufacturing processes and materials, and smart production systems</w:t>
      </w:r>
      <w:r>
        <w:rPr>
          <w:rFonts w:ascii="Times New Roman" w:hAnsi="Times New Roman" w:cs="Times New Roman"/>
          <w:sz w:val="24"/>
          <w:szCs w:val="24"/>
        </w:rPr>
        <w:t>;</w:t>
      </w:r>
    </w:p>
    <w:p w14:paraId="7DCD29D5" w14:textId="67FC4179" w:rsidR="00F64F11" w:rsidRPr="00D143CA" w:rsidRDefault="00576429" w:rsidP="00F9781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d</w:t>
      </w:r>
      <w:r w:rsidR="00F64F11" w:rsidRPr="00D143CA">
        <w:rPr>
          <w:rFonts w:ascii="Times New Roman" w:hAnsi="Times New Roman" w:cs="Times New Roman"/>
          <w:sz w:val="24"/>
          <w:szCs w:val="24"/>
        </w:rPr>
        <w:t>evelop practical solutions for complex manufacturing or mechanical problems present in industry</w:t>
      </w:r>
      <w:r>
        <w:rPr>
          <w:rFonts w:ascii="Times New Roman" w:hAnsi="Times New Roman" w:cs="Times New Roman"/>
          <w:sz w:val="24"/>
          <w:szCs w:val="24"/>
        </w:rPr>
        <w:t>; and</w:t>
      </w:r>
    </w:p>
    <w:p w14:paraId="42CAD4B4" w14:textId="71F0DDC3" w:rsidR="00F64F11" w:rsidRPr="00D143CA" w:rsidRDefault="00576429" w:rsidP="0074176C">
      <w:pPr>
        <w:pStyle w:val="ListParagraph"/>
        <w:numPr>
          <w:ilvl w:val="0"/>
          <w:numId w:val="8"/>
        </w:numPr>
        <w:spacing w:after="120"/>
        <w:jc w:val="both"/>
        <w:rPr>
          <w:rFonts w:ascii="Times New Roman" w:hAnsi="Times New Roman" w:cs="Times New Roman"/>
          <w:sz w:val="24"/>
          <w:szCs w:val="24"/>
        </w:rPr>
      </w:pPr>
      <w:r>
        <w:rPr>
          <w:rFonts w:ascii="Times New Roman" w:hAnsi="Times New Roman" w:cs="Times New Roman"/>
          <w:sz w:val="24"/>
          <w:szCs w:val="24"/>
        </w:rPr>
        <w:t>a</w:t>
      </w:r>
      <w:r w:rsidR="00F64F11" w:rsidRPr="00D143CA">
        <w:rPr>
          <w:rFonts w:ascii="Times New Roman" w:hAnsi="Times New Roman" w:cs="Times New Roman"/>
          <w:sz w:val="24"/>
          <w:szCs w:val="24"/>
        </w:rPr>
        <w:t xml:space="preserve">pply engineering project supervision and personnel management skills for careers in manufacturing, design, installation, operations, technical sales, service functions, and similar. </w:t>
      </w:r>
    </w:p>
    <w:p w14:paraId="3C61D297" w14:textId="30FE6C65" w:rsidR="00F64F11" w:rsidRPr="00D143CA" w:rsidRDefault="00F64F11" w:rsidP="00D143CA">
      <w:pPr>
        <w:jc w:val="both"/>
        <w:rPr>
          <w:sz w:val="24"/>
          <w:szCs w:val="24"/>
        </w:rPr>
      </w:pPr>
      <w:r w:rsidRPr="00D143CA">
        <w:rPr>
          <w:sz w:val="24"/>
          <w:szCs w:val="24"/>
        </w:rPr>
        <w:t xml:space="preserve">The program learning objectives for the </w:t>
      </w:r>
      <w:r w:rsidR="00A17C44" w:rsidRPr="00D143CA">
        <w:rPr>
          <w:sz w:val="24"/>
          <w:szCs w:val="24"/>
        </w:rPr>
        <w:t xml:space="preserve">ESET </w:t>
      </w:r>
      <w:r w:rsidR="008A6B59">
        <w:rPr>
          <w:sz w:val="24"/>
          <w:szCs w:val="24"/>
        </w:rPr>
        <w:t>concentration</w:t>
      </w:r>
      <w:r w:rsidR="008A6B59" w:rsidRPr="00D143CA">
        <w:rPr>
          <w:sz w:val="24"/>
          <w:szCs w:val="24"/>
        </w:rPr>
        <w:t xml:space="preserve"> </w:t>
      </w:r>
      <w:r w:rsidRPr="00D143CA">
        <w:rPr>
          <w:sz w:val="24"/>
          <w:szCs w:val="24"/>
        </w:rPr>
        <w:t xml:space="preserve">are preparing students to: </w:t>
      </w:r>
    </w:p>
    <w:p w14:paraId="0FD8C599" w14:textId="39543040" w:rsidR="00F64F11" w:rsidRPr="00D143CA" w:rsidRDefault="00576429" w:rsidP="00F9781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d</w:t>
      </w:r>
      <w:r w:rsidR="00F64F11" w:rsidRPr="00D143CA">
        <w:rPr>
          <w:rFonts w:ascii="Times New Roman" w:hAnsi="Times New Roman" w:cs="Times New Roman"/>
          <w:sz w:val="24"/>
          <w:szCs w:val="24"/>
        </w:rPr>
        <w:t xml:space="preserve">emonstrate advanced technical knowledge in instrumentation and control of industrial processes and systems using modern techniques such as the </w:t>
      </w:r>
      <w:proofErr w:type="spellStart"/>
      <w:r w:rsidR="00F64F11" w:rsidRPr="00D143CA">
        <w:rPr>
          <w:rFonts w:ascii="Times New Roman" w:hAnsi="Times New Roman" w:cs="Times New Roman"/>
          <w:sz w:val="24"/>
          <w:szCs w:val="24"/>
        </w:rPr>
        <w:t>II</w:t>
      </w:r>
      <w:r w:rsidR="00972739">
        <w:rPr>
          <w:rFonts w:ascii="Times New Roman" w:hAnsi="Times New Roman" w:cs="Times New Roman"/>
          <w:sz w:val="24"/>
          <w:szCs w:val="24"/>
        </w:rPr>
        <w:t>o</w:t>
      </w:r>
      <w:r w:rsidR="00F64F11" w:rsidRPr="00D143CA">
        <w:rPr>
          <w:rFonts w:ascii="Times New Roman" w:hAnsi="Times New Roman" w:cs="Times New Roman"/>
          <w:sz w:val="24"/>
          <w:szCs w:val="24"/>
        </w:rPr>
        <w:t>T</w:t>
      </w:r>
      <w:proofErr w:type="spellEnd"/>
      <w:r>
        <w:rPr>
          <w:rFonts w:ascii="Times New Roman" w:hAnsi="Times New Roman" w:cs="Times New Roman"/>
          <w:sz w:val="24"/>
          <w:szCs w:val="24"/>
        </w:rPr>
        <w:t>;</w:t>
      </w:r>
    </w:p>
    <w:p w14:paraId="0A2130CA" w14:textId="6DCBD087" w:rsidR="00F64F11" w:rsidRPr="00D143CA" w:rsidRDefault="00576429" w:rsidP="00F9781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d</w:t>
      </w:r>
      <w:r w:rsidR="00F64F11" w:rsidRPr="00D143CA">
        <w:rPr>
          <w:rFonts w:ascii="Times New Roman" w:hAnsi="Times New Roman" w:cs="Times New Roman"/>
          <w:sz w:val="24"/>
          <w:szCs w:val="24"/>
        </w:rPr>
        <w:t xml:space="preserve">evelop practical solutions for complex distributed monitoring and control of industrial processes and system problems present in industry using </w:t>
      </w:r>
      <w:proofErr w:type="spellStart"/>
      <w:r w:rsidR="00F64F11" w:rsidRPr="00D143CA">
        <w:rPr>
          <w:rFonts w:ascii="Times New Roman" w:hAnsi="Times New Roman" w:cs="Times New Roman"/>
          <w:sz w:val="24"/>
          <w:szCs w:val="24"/>
        </w:rPr>
        <w:t>II</w:t>
      </w:r>
      <w:r w:rsidR="00972739">
        <w:rPr>
          <w:rFonts w:ascii="Times New Roman" w:hAnsi="Times New Roman" w:cs="Times New Roman"/>
          <w:sz w:val="24"/>
          <w:szCs w:val="24"/>
        </w:rPr>
        <w:t>o</w:t>
      </w:r>
      <w:r w:rsidR="00F64F11" w:rsidRPr="00D143CA">
        <w:rPr>
          <w:rFonts w:ascii="Times New Roman" w:hAnsi="Times New Roman" w:cs="Times New Roman"/>
          <w:sz w:val="24"/>
          <w:szCs w:val="24"/>
        </w:rPr>
        <w:t>T</w:t>
      </w:r>
      <w:proofErr w:type="spellEnd"/>
      <w:r w:rsidR="00F64F11" w:rsidRPr="00D143CA">
        <w:rPr>
          <w:rFonts w:ascii="Times New Roman" w:hAnsi="Times New Roman" w:cs="Times New Roman"/>
          <w:sz w:val="24"/>
          <w:szCs w:val="24"/>
        </w:rPr>
        <w:t xml:space="preserve"> and other related technologies</w:t>
      </w:r>
      <w:r>
        <w:rPr>
          <w:rFonts w:ascii="Times New Roman" w:hAnsi="Times New Roman" w:cs="Times New Roman"/>
          <w:sz w:val="24"/>
          <w:szCs w:val="24"/>
        </w:rPr>
        <w:t>; and</w:t>
      </w:r>
    </w:p>
    <w:p w14:paraId="36595D52" w14:textId="7D499084" w:rsidR="00F64F11" w:rsidRPr="00D143CA" w:rsidRDefault="00576429" w:rsidP="00F97817">
      <w:pPr>
        <w:pStyle w:val="ListParagraph"/>
        <w:numPr>
          <w:ilvl w:val="0"/>
          <w:numId w:val="8"/>
        </w:numPr>
        <w:jc w:val="both"/>
        <w:rPr>
          <w:rFonts w:ascii="Times New Roman" w:hAnsi="Times New Roman" w:cs="Times New Roman"/>
          <w:sz w:val="24"/>
          <w:szCs w:val="24"/>
        </w:rPr>
      </w:pPr>
      <w:proofErr w:type="gramStart"/>
      <w:r>
        <w:rPr>
          <w:rFonts w:ascii="Times New Roman" w:hAnsi="Times New Roman" w:cs="Times New Roman"/>
          <w:sz w:val="24"/>
          <w:szCs w:val="24"/>
        </w:rPr>
        <w:t>a</w:t>
      </w:r>
      <w:r w:rsidR="00F64F11" w:rsidRPr="00D143CA">
        <w:rPr>
          <w:rFonts w:ascii="Times New Roman" w:hAnsi="Times New Roman" w:cs="Times New Roman"/>
          <w:sz w:val="24"/>
          <w:szCs w:val="24"/>
        </w:rPr>
        <w:t>pply</w:t>
      </w:r>
      <w:proofErr w:type="gramEnd"/>
      <w:r w:rsidR="00F64F11" w:rsidRPr="00D143CA">
        <w:rPr>
          <w:rFonts w:ascii="Times New Roman" w:hAnsi="Times New Roman" w:cs="Times New Roman"/>
          <w:sz w:val="24"/>
          <w:szCs w:val="24"/>
        </w:rPr>
        <w:t xml:space="preserve"> engineering project management skills for careers in industrial instrumentation and control system design, applications, security and testing.</w:t>
      </w:r>
    </w:p>
    <w:p w14:paraId="1D5DE583" w14:textId="77777777" w:rsidR="00A17C44" w:rsidRPr="00F97817" w:rsidRDefault="00A17C44" w:rsidP="00F97817">
      <w:pPr>
        <w:jc w:val="both"/>
        <w:rPr>
          <w:sz w:val="24"/>
          <w:szCs w:val="24"/>
        </w:rPr>
      </w:pPr>
    </w:p>
    <w:p w14:paraId="363A9A72" w14:textId="3F0BBD9C" w:rsidR="00F16EF0" w:rsidRPr="00F97817" w:rsidRDefault="00F16EF0" w:rsidP="00F97817">
      <w:pPr>
        <w:jc w:val="both"/>
        <w:rPr>
          <w:sz w:val="24"/>
          <w:szCs w:val="24"/>
        </w:rPr>
      </w:pPr>
      <w:r w:rsidRPr="00F97817">
        <w:rPr>
          <w:sz w:val="24"/>
          <w:szCs w:val="24"/>
        </w:rPr>
        <w:t xml:space="preserve">The proposed implementation date is </w:t>
      </w:r>
      <w:r w:rsidR="0056448A">
        <w:rPr>
          <w:sz w:val="24"/>
          <w:szCs w:val="24"/>
        </w:rPr>
        <w:t>f</w:t>
      </w:r>
      <w:r w:rsidR="00E506A3">
        <w:rPr>
          <w:sz w:val="24"/>
          <w:szCs w:val="24"/>
        </w:rPr>
        <w:t>all</w:t>
      </w:r>
      <w:r w:rsidR="00F64F11" w:rsidRPr="00F97817">
        <w:rPr>
          <w:sz w:val="24"/>
          <w:szCs w:val="24"/>
        </w:rPr>
        <w:t xml:space="preserve"> 2019</w:t>
      </w:r>
      <w:r w:rsidRPr="00F97817">
        <w:rPr>
          <w:sz w:val="24"/>
          <w:szCs w:val="24"/>
        </w:rPr>
        <w:t>.</w:t>
      </w:r>
    </w:p>
    <w:p w14:paraId="0143E8AD" w14:textId="77777777" w:rsidR="00F16EF0" w:rsidRPr="00F97817" w:rsidRDefault="00F16EF0" w:rsidP="007D203A">
      <w:pPr>
        <w:jc w:val="both"/>
        <w:rPr>
          <w:sz w:val="24"/>
          <w:szCs w:val="24"/>
        </w:rPr>
      </w:pPr>
    </w:p>
    <w:p w14:paraId="2541DF7C" w14:textId="77777777" w:rsidR="00F16EF0" w:rsidRPr="007D203A" w:rsidRDefault="00F16EF0" w:rsidP="007D203A">
      <w:pPr>
        <w:jc w:val="both"/>
        <w:rPr>
          <w:sz w:val="24"/>
          <w:szCs w:val="24"/>
        </w:rPr>
      </w:pPr>
      <w:r w:rsidRPr="00F97817">
        <w:rPr>
          <w:sz w:val="24"/>
          <w:szCs w:val="24"/>
        </w:rPr>
        <w:t xml:space="preserve">Texas A&amp;M University (Texas </w:t>
      </w:r>
      <w:proofErr w:type="gramStart"/>
      <w:r w:rsidRPr="00F97817">
        <w:rPr>
          <w:sz w:val="24"/>
          <w:szCs w:val="24"/>
        </w:rPr>
        <w:t>A&amp;M</w:t>
      </w:r>
      <w:proofErr w:type="gramEnd"/>
      <w:r w:rsidRPr="00F97817">
        <w:rPr>
          <w:sz w:val="24"/>
          <w:szCs w:val="24"/>
        </w:rPr>
        <w:t>) certifies that the proposed new degree program meets the criteria under 19 Texas Administrative Code, Section 5.45 in regards to need, quality, financial and faculty resources, standards and costs. New costs during</w:t>
      </w:r>
      <w:r w:rsidRPr="007D203A">
        <w:rPr>
          <w:sz w:val="24"/>
          <w:szCs w:val="24"/>
        </w:rPr>
        <w:t xml:space="preserve"> the first five years will not exceed $2 million.</w:t>
      </w:r>
    </w:p>
    <w:p w14:paraId="6B275915" w14:textId="77777777" w:rsidR="00F16EF0" w:rsidRPr="007D203A" w:rsidRDefault="00F16EF0" w:rsidP="007D203A">
      <w:pPr>
        <w:jc w:val="both"/>
        <w:rPr>
          <w:sz w:val="24"/>
          <w:szCs w:val="24"/>
        </w:rPr>
      </w:pPr>
    </w:p>
    <w:p w14:paraId="5F917972" w14:textId="77777777" w:rsidR="00F16EF0" w:rsidRPr="00D143CA" w:rsidRDefault="00F16EF0" w:rsidP="007D203A">
      <w:pPr>
        <w:pStyle w:val="Heading1"/>
        <w:numPr>
          <w:ilvl w:val="0"/>
          <w:numId w:val="1"/>
        </w:numPr>
        <w:ind w:left="360" w:hanging="360"/>
        <w:rPr>
          <w:b/>
          <w:szCs w:val="24"/>
        </w:rPr>
      </w:pPr>
      <w:r w:rsidRPr="00D143CA">
        <w:rPr>
          <w:b/>
          <w:szCs w:val="24"/>
        </w:rPr>
        <w:t>NEED</w:t>
      </w:r>
    </w:p>
    <w:p w14:paraId="6AECE18E" w14:textId="652D5488" w:rsidR="00F16EF0" w:rsidRPr="00F97817" w:rsidRDefault="00F16EF0" w:rsidP="008A6B59">
      <w:pPr>
        <w:rPr>
          <w:sz w:val="24"/>
          <w:szCs w:val="24"/>
        </w:rPr>
      </w:pPr>
    </w:p>
    <w:p w14:paraId="1C95E7F1" w14:textId="77777777" w:rsidR="00F16EF0" w:rsidRPr="00F97817" w:rsidRDefault="00F16EF0" w:rsidP="0074176C">
      <w:pPr>
        <w:numPr>
          <w:ilvl w:val="0"/>
          <w:numId w:val="2"/>
        </w:numPr>
        <w:spacing w:after="120"/>
        <w:rPr>
          <w:b/>
          <w:sz w:val="24"/>
          <w:szCs w:val="24"/>
        </w:rPr>
      </w:pPr>
      <w:r w:rsidRPr="00F97817">
        <w:rPr>
          <w:b/>
          <w:sz w:val="24"/>
          <w:szCs w:val="24"/>
        </w:rPr>
        <w:t xml:space="preserve">Employment Opportunities  </w:t>
      </w:r>
    </w:p>
    <w:p w14:paraId="35FDF150" w14:textId="32C7F723" w:rsidR="00F64F11" w:rsidRDefault="00F64F11" w:rsidP="00BE5B7D">
      <w:pPr>
        <w:ind w:left="720"/>
        <w:jc w:val="both"/>
        <w:rPr>
          <w:sz w:val="24"/>
          <w:szCs w:val="24"/>
        </w:rPr>
      </w:pPr>
      <w:r w:rsidRPr="00D143CA">
        <w:rPr>
          <w:sz w:val="24"/>
          <w:szCs w:val="24"/>
        </w:rPr>
        <w:t>Graduates from the proposed M</w:t>
      </w:r>
      <w:r w:rsidR="0056448A">
        <w:rPr>
          <w:sz w:val="24"/>
          <w:szCs w:val="24"/>
        </w:rPr>
        <w:t>.</w:t>
      </w:r>
      <w:r w:rsidRPr="00D143CA">
        <w:rPr>
          <w:sz w:val="24"/>
          <w:szCs w:val="24"/>
        </w:rPr>
        <w:t>S</w:t>
      </w:r>
      <w:r w:rsidR="0056448A">
        <w:rPr>
          <w:sz w:val="24"/>
          <w:szCs w:val="24"/>
        </w:rPr>
        <w:t>.</w:t>
      </w:r>
      <w:r w:rsidRPr="00D143CA">
        <w:rPr>
          <w:sz w:val="24"/>
          <w:szCs w:val="24"/>
        </w:rPr>
        <w:t>E</w:t>
      </w:r>
      <w:r w:rsidR="0056448A">
        <w:rPr>
          <w:sz w:val="24"/>
          <w:szCs w:val="24"/>
        </w:rPr>
        <w:t>.</w:t>
      </w:r>
      <w:r w:rsidRPr="00D143CA">
        <w:rPr>
          <w:sz w:val="24"/>
          <w:szCs w:val="24"/>
        </w:rPr>
        <w:t>T</w:t>
      </w:r>
      <w:r w:rsidR="0056448A">
        <w:rPr>
          <w:sz w:val="24"/>
          <w:szCs w:val="24"/>
        </w:rPr>
        <w:t>.</w:t>
      </w:r>
      <w:r w:rsidRPr="00D143CA">
        <w:rPr>
          <w:sz w:val="24"/>
          <w:szCs w:val="24"/>
        </w:rPr>
        <w:t xml:space="preserve"> program will have ample job opportunities.  A recent study conducted by </w:t>
      </w:r>
      <w:r w:rsidR="000A7A94">
        <w:rPr>
          <w:sz w:val="24"/>
          <w:szCs w:val="24"/>
        </w:rPr>
        <w:t>Education Advisory Board (</w:t>
      </w:r>
      <w:r w:rsidRPr="00D143CA">
        <w:rPr>
          <w:sz w:val="24"/>
          <w:szCs w:val="24"/>
        </w:rPr>
        <w:t>EAB</w:t>
      </w:r>
      <w:r w:rsidR="000A7A94">
        <w:rPr>
          <w:sz w:val="24"/>
          <w:szCs w:val="24"/>
        </w:rPr>
        <w:t>)</w:t>
      </w:r>
      <w:r w:rsidRPr="00D143CA">
        <w:rPr>
          <w:sz w:val="24"/>
          <w:szCs w:val="24"/>
        </w:rPr>
        <w:t xml:space="preserve">, </w:t>
      </w:r>
      <w:r w:rsidR="000078ED">
        <w:rPr>
          <w:sz w:val="24"/>
          <w:szCs w:val="24"/>
        </w:rPr>
        <w:t>an</w:t>
      </w:r>
      <w:r w:rsidRPr="00D143CA">
        <w:rPr>
          <w:sz w:val="24"/>
          <w:szCs w:val="24"/>
        </w:rPr>
        <w:t xml:space="preserve"> independent third party, establish</w:t>
      </w:r>
      <w:r w:rsidR="000078ED">
        <w:rPr>
          <w:sz w:val="24"/>
          <w:szCs w:val="24"/>
        </w:rPr>
        <w:t>ed</w:t>
      </w:r>
      <w:r w:rsidRPr="00D143CA">
        <w:rPr>
          <w:sz w:val="24"/>
          <w:szCs w:val="24"/>
        </w:rPr>
        <w:t xml:space="preserve"> the market viability of the proposed degree (EAB, 2017). In evaluating the </w:t>
      </w:r>
      <w:r w:rsidR="007D203A">
        <w:rPr>
          <w:sz w:val="24"/>
          <w:szCs w:val="24"/>
        </w:rPr>
        <w:t>MMET</w:t>
      </w:r>
      <w:r w:rsidRPr="00D143CA">
        <w:rPr>
          <w:sz w:val="24"/>
          <w:szCs w:val="24"/>
        </w:rPr>
        <w:t xml:space="preserve"> </w:t>
      </w:r>
      <w:r w:rsidR="008A6B59">
        <w:rPr>
          <w:sz w:val="24"/>
          <w:szCs w:val="24"/>
        </w:rPr>
        <w:t>concentration</w:t>
      </w:r>
      <w:r w:rsidRPr="00D143CA">
        <w:rPr>
          <w:sz w:val="24"/>
          <w:szCs w:val="24"/>
        </w:rPr>
        <w:t xml:space="preserve">, according to the EAB </w:t>
      </w:r>
      <w:r w:rsidR="00576429">
        <w:rPr>
          <w:sz w:val="24"/>
          <w:szCs w:val="24"/>
        </w:rPr>
        <w:t>r</w:t>
      </w:r>
      <w:r w:rsidRPr="00D143CA">
        <w:rPr>
          <w:sz w:val="24"/>
          <w:szCs w:val="24"/>
        </w:rPr>
        <w:t>eport, it is estimated that an MSET graduate will be a good fit for at least 368 out of 2,871 engineering technology job postings per year (April 2016-March 2017 data</w:t>
      </w:r>
      <w:r w:rsidRPr="00D143CA">
        <w:rPr>
          <w:sz w:val="24"/>
          <w:szCs w:val="24"/>
          <w:vertAlign w:val="superscript"/>
        </w:rPr>
        <w:footnoteReference w:id="2"/>
      </w:r>
      <w:r w:rsidRPr="00D143CA">
        <w:rPr>
          <w:sz w:val="24"/>
          <w:szCs w:val="24"/>
        </w:rPr>
        <w:t xml:space="preserve">). Similarly, according to the EAB report, a great demand (563 out of 2,871 postings from the April 2016 to March 2017 timeframe) exists for students graduating with the </w:t>
      </w:r>
      <w:r w:rsidR="007D203A">
        <w:rPr>
          <w:sz w:val="24"/>
          <w:szCs w:val="24"/>
        </w:rPr>
        <w:t>ESET</w:t>
      </w:r>
      <w:r w:rsidRPr="00D143CA">
        <w:rPr>
          <w:sz w:val="24"/>
          <w:szCs w:val="24"/>
        </w:rPr>
        <w:t xml:space="preserve"> </w:t>
      </w:r>
      <w:r w:rsidR="008A6B59">
        <w:rPr>
          <w:sz w:val="24"/>
          <w:szCs w:val="24"/>
        </w:rPr>
        <w:t>concentration</w:t>
      </w:r>
      <w:r w:rsidR="008A6B59" w:rsidRPr="00D143CA">
        <w:rPr>
          <w:sz w:val="24"/>
          <w:szCs w:val="24"/>
        </w:rPr>
        <w:t xml:space="preserve"> </w:t>
      </w:r>
      <w:r w:rsidR="005A5124" w:rsidRPr="00D143CA">
        <w:rPr>
          <w:sz w:val="24"/>
          <w:szCs w:val="24"/>
        </w:rPr>
        <w:t xml:space="preserve">with a focus on </w:t>
      </w:r>
      <w:proofErr w:type="spellStart"/>
      <w:r w:rsidR="005A5124" w:rsidRPr="00D143CA">
        <w:rPr>
          <w:sz w:val="24"/>
          <w:szCs w:val="24"/>
        </w:rPr>
        <w:t>II</w:t>
      </w:r>
      <w:r w:rsidR="00972739">
        <w:rPr>
          <w:sz w:val="24"/>
          <w:szCs w:val="24"/>
        </w:rPr>
        <w:t>o</w:t>
      </w:r>
      <w:r w:rsidR="005A5124" w:rsidRPr="00D143CA">
        <w:rPr>
          <w:sz w:val="24"/>
          <w:szCs w:val="24"/>
        </w:rPr>
        <w:t>T</w:t>
      </w:r>
      <w:proofErr w:type="spellEnd"/>
      <w:r w:rsidRPr="00D143CA">
        <w:rPr>
          <w:sz w:val="24"/>
          <w:szCs w:val="24"/>
        </w:rPr>
        <w:t>.  Furthermore, 2013-2015 data from the N</w:t>
      </w:r>
      <w:r w:rsidR="000078ED">
        <w:rPr>
          <w:sz w:val="24"/>
          <w:szCs w:val="24"/>
        </w:rPr>
        <w:t xml:space="preserve">ational </w:t>
      </w:r>
      <w:r w:rsidRPr="00D143CA">
        <w:rPr>
          <w:sz w:val="24"/>
          <w:szCs w:val="24"/>
        </w:rPr>
        <w:t>C</w:t>
      </w:r>
      <w:r w:rsidR="000078ED">
        <w:rPr>
          <w:sz w:val="24"/>
          <w:szCs w:val="24"/>
        </w:rPr>
        <w:t xml:space="preserve">enter for </w:t>
      </w:r>
      <w:r w:rsidRPr="00D143CA">
        <w:rPr>
          <w:sz w:val="24"/>
          <w:szCs w:val="24"/>
        </w:rPr>
        <w:t>E</w:t>
      </w:r>
      <w:r w:rsidR="000078ED">
        <w:rPr>
          <w:sz w:val="24"/>
          <w:szCs w:val="24"/>
        </w:rPr>
        <w:t xml:space="preserve">ducation </w:t>
      </w:r>
      <w:r w:rsidRPr="00D143CA">
        <w:rPr>
          <w:sz w:val="24"/>
          <w:szCs w:val="24"/>
        </w:rPr>
        <w:t>S</w:t>
      </w:r>
      <w:r w:rsidR="000078ED">
        <w:rPr>
          <w:sz w:val="24"/>
          <w:szCs w:val="24"/>
        </w:rPr>
        <w:t xml:space="preserve">tatistics </w:t>
      </w:r>
      <w:r w:rsidRPr="00D143CA">
        <w:rPr>
          <w:sz w:val="24"/>
          <w:szCs w:val="24"/>
        </w:rPr>
        <w:t xml:space="preserve">suggests that the demand for the </w:t>
      </w:r>
      <w:r w:rsidR="00576429">
        <w:rPr>
          <w:sz w:val="24"/>
          <w:szCs w:val="24"/>
        </w:rPr>
        <w:t>graduates of the proposed</w:t>
      </w:r>
      <w:r w:rsidRPr="00D143CA">
        <w:rPr>
          <w:sz w:val="24"/>
          <w:szCs w:val="24"/>
        </w:rPr>
        <w:t xml:space="preserve"> M</w:t>
      </w:r>
      <w:r w:rsidR="0056448A">
        <w:rPr>
          <w:sz w:val="24"/>
          <w:szCs w:val="24"/>
        </w:rPr>
        <w:t>.</w:t>
      </w:r>
      <w:r w:rsidRPr="00D143CA">
        <w:rPr>
          <w:sz w:val="24"/>
          <w:szCs w:val="24"/>
        </w:rPr>
        <w:t>S</w:t>
      </w:r>
      <w:r w:rsidR="0056448A">
        <w:rPr>
          <w:sz w:val="24"/>
          <w:szCs w:val="24"/>
        </w:rPr>
        <w:t>.</w:t>
      </w:r>
      <w:r w:rsidRPr="00D143CA">
        <w:rPr>
          <w:sz w:val="24"/>
          <w:szCs w:val="24"/>
        </w:rPr>
        <w:t>E</w:t>
      </w:r>
      <w:r w:rsidR="0056448A">
        <w:rPr>
          <w:sz w:val="24"/>
          <w:szCs w:val="24"/>
        </w:rPr>
        <w:t>.</w:t>
      </w:r>
      <w:r w:rsidRPr="00D143CA">
        <w:rPr>
          <w:sz w:val="24"/>
          <w:szCs w:val="24"/>
        </w:rPr>
        <w:t>T</w:t>
      </w:r>
      <w:r w:rsidR="0056448A">
        <w:rPr>
          <w:sz w:val="24"/>
          <w:szCs w:val="24"/>
        </w:rPr>
        <w:t>.</w:t>
      </w:r>
      <w:r w:rsidRPr="00D143CA">
        <w:rPr>
          <w:sz w:val="24"/>
          <w:szCs w:val="24"/>
        </w:rPr>
        <w:t xml:space="preserve"> program will be large considering the total number of </w:t>
      </w:r>
      <w:r w:rsidR="0056448A">
        <w:rPr>
          <w:sz w:val="24"/>
          <w:szCs w:val="24"/>
        </w:rPr>
        <w:t>master’s</w:t>
      </w:r>
      <w:r w:rsidRPr="00D143CA">
        <w:rPr>
          <w:sz w:val="24"/>
          <w:szCs w:val="24"/>
        </w:rPr>
        <w:t xml:space="preserve"> </w:t>
      </w:r>
      <w:r w:rsidR="007D203A" w:rsidRPr="00355C0D">
        <w:rPr>
          <w:sz w:val="24"/>
          <w:szCs w:val="24"/>
        </w:rPr>
        <w:t>degree completions per year</w:t>
      </w:r>
      <w:r w:rsidR="007D203A" w:rsidRPr="007D203A">
        <w:rPr>
          <w:sz w:val="24"/>
          <w:szCs w:val="24"/>
        </w:rPr>
        <w:t xml:space="preserve"> </w:t>
      </w:r>
      <w:r w:rsidRPr="00D143CA">
        <w:rPr>
          <w:sz w:val="24"/>
          <w:szCs w:val="24"/>
        </w:rPr>
        <w:t>of all engineering technology is</w:t>
      </w:r>
      <w:r w:rsidR="00576429">
        <w:rPr>
          <w:sz w:val="24"/>
          <w:szCs w:val="24"/>
        </w:rPr>
        <w:t xml:space="preserve"> only</w:t>
      </w:r>
      <w:r w:rsidRPr="00D143CA">
        <w:rPr>
          <w:sz w:val="24"/>
          <w:szCs w:val="24"/>
        </w:rPr>
        <w:t xml:space="preserve"> 233 (i.e.</w:t>
      </w:r>
      <w:r w:rsidR="00345D80">
        <w:rPr>
          <w:sz w:val="24"/>
          <w:szCs w:val="24"/>
        </w:rPr>
        <w:t>,</w:t>
      </w:r>
      <w:r w:rsidRPr="00D143CA">
        <w:rPr>
          <w:sz w:val="24"/>
          <w:szCs w:val="24"/>
        </w:rPr>
        <w:t xml:space="preserve"> all CIP code 15) versus 368 job postings specific to MMET or similar programs. Similarly, demand for the ESET </w:t>
      </w:r>
      <w:r w:rsidR="008A6B59">
        <w:rPr>
          <w:sz w:val="24"/>
          <w:szCs w:val="24"/>
        </w:rPr>
        <w:t>concentration</w:t>
      </w:r>
      <w:r w:rsidR="008A6B59" w:rsidRPr="00D143CA">
        <w:rPr>
          <w:sz w:val="24"/>
          <w:szCs w:val="24"/>
        </w:rPr>
        <w:t xml:space="preserve"> </w:t>
      </w:r>
      <w:r w:rsidRPr="00D143CA">
        <w:rPr>
          <w:sz w:val="24"/>
          <w:szCs w:val="24"/>
        </w:rPr>
        <w:t>will be significant based upon 563 job postings specific to the ESET or similar programs</w:t>
      </w:r>
      <w:r w:rsidR="00F97817">
        <w:rPr>
          <w:sz w:val="24"/>
          <w:szCs w:val="24"/>
        </w:rPr>
        <w:t>.</w:t>
      </w:r>
    </w:p>
    <w:p w14:paraId="6A1F5942" w14:textId="77777777" w:rsidR="00F97817" w:rsidRPr="00D143CA" w:rsidRDefault="00F97817" w:rsidP="00BE5B7D">
      <w:pPr>
        <w:ind w:left="720"/>
        <w:jc w:val="both"/>
        <w:rPr>
          <w:sz w:val="24"/>
          <w:szCs w:val="24"/>
        </w:rPr>
      </w:pPr>
    </w:p>
    <w:p w14:paraId="4FB038F4" w14:textId="34E40727" w:rsidR="00D567CE" w:rsidRDefault="00D567CE" w:rsidP="00BE5B7D">
      <w:pPr>
        <w:ind w:left="720"/>
        <w:jc w:val="both"/>
        <w:rPr>
          <w:sz w:val="24"/>
          <w:szCs w:val="24"/>
        </w:rPr>
      </w:pPr>
      <w:r w:rsidRPr="00D143CA">
        <w:rPr>
          <w:sz w:val="24"/>
          <w:szCs w:val="24"/>
        </w:rPr>
        <w:t>Results of a survey of companies in the</w:t>
      </w:r>
      <w:r w:rsidR="000078ED">
        <w:rPr>
          <w:sz w:val="24"/>
          <w:szCs w:val="24"/>
        </w:rPr>
        <w:t xml:space="preserve"> ETID</w:t>
      </w:r>
      <w:r w:rsidRPr="00D143CA">
        <w:rPr>
          <w:sz w:val="24"/>
          <w:szCs w:val="24"/>
        </w:rPr>
        <w:t xml:space="preserve"> </w:t>
      </w:r>
      <w:r w:rsidR="00261D69">
        <w:rPr>
          <w:sz w:val="24"/>
          <w:szCs w:val="24"/>
        </w:rPr>
        <w:t>i</w:t>
      </w:r>
      <w:r w:rsidRPr="00D143CA">
        <w:rPr>
          <w:sz w:val="24"/>
          <w:szCs w:val="24"/>
        </w:rPr>
        <w:t xml:space="preserve">ndustrial </w:t>
      </w:r>
      <w:r w:rsidR="00261D69">
        <w:rPr>
          <w:sz w:val="24"/>
          <w:szCs w:val="24"/>
        </w:rPr>
        <w:t>a</w:t>
      </w:r>
      <w:r w:rsidRPr="00D143CA">
        <w:rPr>
          <w:sz w:val="24"/>
          <w:szCs w:val="24"/>
        </w:rPr>
        <w:t xml:space="preserve">dvisory </w:t>
      </w:r>
      <w:r w:rsidR="00261D69">
        <w:rPr>
          <w:sz w:val="24"/>
          <w:szCs w:val="24"/>
        </w:rPr>
        <w:t>b</w:t>
      </w:r>
      <w:r w:rsidRPr="00D143CA">
        <w:rPr>
          <w:sz w:val="24"/>
          <w:szCs w:val="24"/>
        </w:rPr>
        <w:t>oard</w:t>
      </w:r>
      <w:r w:rsidR="000078ED">
        <w:rPr>
          <w:sz w:val="24"/>
          <w:szCs w:val="24"/>
        </w:rPr>
        <w:t>s</w:t>
      </w:r>
      <w:r w:rsidRPr="00D143CA">
        <w:rPr>
          <w:sz w:val="24"/>
          <w:szCs w:val="24"/>
        </w:rPr>
        <w:t xml:space="preserve"> of the </w:t>
      </w:r>
      <w:r w:rsidR="007D203A">
        <w:rPr>
          <w:sz w:val="24"/>
          <w:szCs w:val="24"/>
        </w:rPr>
        <w:t xml:space="preserve">MMET and </w:t>
      </w:r>
      <w:r w:rsidR="00F2050D">
        <w:rPr>
          <w:sz w:val="24"/>
          <w:szCs w:val="24"/>
        </w:rPr>
        <w:t>E</w:t>
      </w:r>
      <w:r w:rsidR="007D203A">
        <w:rPr>
          <w:sz w:val="24"/>
          <w:szCs w:val="24"/>
        </w:rPr>
        <w:t xml:space="preserve">SET </w:t>
      </w:r>
      <w:r w:rsidR="008A6B59">
        <w:rPr>
          <w:sz w:val="24"/>
          <w:szCs w:val="24"/>
        </w:rPr>
        <w:t xml:space="preserve">concentrations </w:t>
      </w:r>
      <w:r w:rsidRPr="00D143CA">
        <w:rPr>
          <w:sz w:val="24"/>
          <w:szCs w:val="24"/>
        </w:rPr>
        <w:t xml:space="preserve">indicate that </w:t>
      </w:r>
      <w:r w:rsidR="00E7794E" w:rsidRPr="00D143CA">
        <w:rPr>
          <w:sz w:val="24"/>
          <w:szCs w:val="24"/>
        </w:rPr>
        <w:t>potential employers and the companies they represent will view the M</w:t>
      </w:r>
      <w:r w:rsidR="0056448A">
        <w:rPr>
          <w:sz w:val="24"/>
          <w:szCs w:val="24"/>
        </w:rPr>
        <w:t>.</w:t>
      </w:r>
      <w:r w:rsidR="00E7794E" w:rsidRPr="00D143CA">
        <w:rPr>
          <w:sz w:val="24"/>
          <w:szCs w:val="24"/>
        </w:rPr>
        <w:t>S</w:t>
      </w:r>
      <w:r w:rsidR="0056448A">
        <w:rPr>
          <w:sz w:val="24"/>
          <w:szCs w:val="24"/>
        </w:rPr>
        <w:t>.</w:t>
      </w:r>
      <w:r w:rsidR="00E7794E" w:rsidRPr="00D143CA">
        <w:rPr>
          <w:sz w:val="24"/>
          <w:szCs w:val="24"/>
        </w:rPr>
        <w:t>E</w:t>
      </w:r>
      <w:r w:rsidR="0056448A">
        <w:rPr>
          <w:sz w:val="24"/>
          <w:szCs w:val="24"/>
        </w:rPr>
        <w:t>.</w:t>
      </w:r>
      <w:r w:rsidR="00E7794E" w:rsidRPr="00D143CA">
        <w:rPr>
          <w:sz w:val="24"/>
          <w:szCs w:val="24"/>
        </w:rPr>
        <w:t>T</w:t>
      </w:r>
      <w:r w:rsidR="0056448A">
        <w:rPr>
          <w:sz w:val="24"/>
          <w:szCs w:val="24"/>
        </w:rPr>
        <w:t>.</w:t>
      </w:r>
      <w:r w:rsidR="00E7794E" w:rsidRPr="00D143CA">
        <w:rPr>
          <w:sz w:val="24"/>
          <w:szCs w:val="24"/>
        </w:rPr>
        <w:t xml:space="preserve"> degree favorably</w:t>
      </w:r>
      <w:r w:rsidRPr="00D143CA">
        <w:rPr>
          <w:sz w:val="24"/>
          <w:szCs w:val="24"/>
        </w:rPr>
        <w:t xml:space="preserve">. Companies representing the </w:t>
      </w:r>
      <w:r w:rsidR="00100820">
        <w:rPr>
          <w:sz w:val="24"/>
          <w:szCs w:val="24"/>
        </w:rPr>
        <w:t>I</w:t>
      </w:r>
      <w:r w:rsidRPr="00D143CA">
        <w:rPr>
          <w:sz w:val="24"/>
          <w:szCs w:val="24"/>
        </w:rPr>
        <w:t xml:space="preserve">ndustry </w:t>
      </w:r>
      <w:r w:rsidR="00100820">
        <w:rPr>
          <w:sz w:val="24"/>
          <w:szCs w:val="24"/>
        </w:rPr>
        <w:t>A</w:t>
      </w:r>
      <w:r w:rsidRPr="00D143CA">
        <w:rPr>
          <w:sz w:val="24"/>
          <w:szCs w:val="24"/>
        </w:rPr>
        <w:t xml:space="preserve">dvisory </w:t>
      </w:r>
      <w:r w:rsidR="00100820">
        <w:rPr>
          <w:sz w:val="24"/>
          <w:szCs w:val="24"/>
        </w:rPr>
        <w:t>B</w:t>
      </w:r>
      <w:r w:rsidRPr="00D143CA">
        <w:rPr>
          <w:sz w:val="24"/>
          <w:szCs w:val="24"/>
        </w:rPr>
        <w:t xml:space="preserve">oard for the MMET </w:t>
      </w:r>
      <w:r w:rsidR="008A6B59">
        <w:rPr>
          <w:sz w:val="24"/>
          <w:szCs w:val="24"/>
        </w:rPr>
        <w:t>concentration</w:t>
      </w:r>
      <w:r w:rsidR="008A6B59" w:rsidRPr="00D143CA">
        <w:rPr>
          <w:sz w:val="24"/>
          <w:szCs w:val="24"/>
        </w:rPr>
        <w:t xml:space="preserve"> </w:t>
      </w:r>
      <w:r w:rsidRPr="00D143CA">
        <w:rPr>
          <w:sz w:val="24"/>
          <w:szCs w:val="24"/>
        </w:rPr>
        <w:t>responded favorably when asked whether graduates from the proposed M</w:t>
      </w:r>
      <w:r w:rsidR="0056448A">
        <w:rPr>
          <w:sz w:val="24"/>
          <w:szCs w:val="24"/>
        </w:rPr>
        <w:t>.</w:t>
      </w:r>
      <w:r w:rsidRPr="00D143CA">
        <w:rPr>
          <w:sz w:val="24"/>
          <w:szCs w:val="24"/>
        </w:rPr>
        <w:t>S</w:t>
      </w:r>
      <w:r w:rsidR="0056448A">
        <w:rPr>
          <w:sz w:val="24"/>
          <w:szCs w:val="24"/>
        </w:rPr>
        <w:t>.</w:t>
      </w:r>
      <w:r w:rsidRPr="00D143CA">
        <w:rPr>
          <w:sz w:val="24"/>
          <w:szCs w:val="24"/>
        </w:rPr>
        <w:t>E</w:t>
      </w:r>
      <w:r w:rsidR="0056448A">
        <w:rPr>
          <w:sz w:val="24"/>
          <w:szCs w:val="24"/>
        </w:rPr>
        <w:t>.</w:t>
      </w:r>
      <w:r w:rsidRPr="00D143CA">
        <w:rPr>
          <w:sz w:val="24"/>
          <w:szCs w:val="24"/>
        </w:rPr>
        <w:t>T</w:t>
      </w:r>
      <w:r w:rsidR="0056448A">
        <w:rPr>
          <w:sz w:val="24"/>
          <w:szCs w:val="24"/>
        </w:rPr>
        <w:t>.</w:t>
      </w:r>
      <w:r w:rsidRPr="00D143CA">
        <w:rPr>
          <w:sz w:val="24"/>
          <w:szCs w:val="24"/>
        </w:rPr>
        <w:t xml:space="preserve"> degree </w:t>
      </w:r>
      <w:r w:rsidR="00100820">
        <w:rPr>
          <w:sz w:val="24"/>
          <w:szCs w:val="24"/>
        </w:rPr>
        <w:t>are</w:t>
      </w:r>
      <w:r w:rsidR="00100820" w:rsidRPr="00D143CA">
        <w:rPr>
          <w:sz w:val="24"/>
          <w:szCs w:val="24"/>
        </w:rPr>
        <w:t xml:space="preserve"> </w:t>
      </w:r>
      <w:r w:rsidRPr="00D143CA">
        <w:rPr>
          <w:sz w:val="24"/>
          <w:szCs w:val="24"/>
        </w:rPr>
        <w:t xml:space="preserve">needed and would be beneficial for them; specifically, 67% said they had a direct immediate need, and 33% said they would be valuable in the long run. For the ESET </w:t>
      </w:r>
      <w:r w:rsidR="008A6B59">
        <w:rPr>
          <w:sz w:val="24"/>
          <w:szCs w:val="24"/>
        </w:rPr>
        <w:t>concentration</w:t>
      </w:r>
      <w:r w:rsidRPr="00D143CA">
        <w:rPr>
          <w:sz w:val="24"/>
          <w:szCs w:val="24"/>
        </w:rPr>
        <w:t xml:space="preserve">, results indicate that 88.9% of companies surveyed agreed that students graduating from this proposed </w:t>
      </w:r>
      <w:r w:rsidR="00F66FF1">
        <w:rPr>
          <w:sz w:val="24"/>
          <w:szCs w:val="24"/>
        </w:rPr>
        <w:t>concentration</w:t>
      </w:r>
      <w:r w:rsidR="00F66FF1" w:rsidRPr="00D143CA">
        <w:rPr>
          <w:sz w:val="24"/>
          <w:szCs w:val="24"/>
        </w:rPr>
        <w:t xml:space="preserve"> </w:t>
      </w:r>
      <w:r w:rsidRPr="00D143CA">
        <w:rPr>
          <w:sz w:val="24"/>
          <w:szCs w:val="24"/>
        </w:rPr>
        <w:t xml:space="preserve">would be valuable to their companies </w:t>
      </w:r>
      <w:r w:rsidR="00B243E1" w:rsidRPr="00D143CA">
        <w:rPr>
          <w:sz w:val="24"/>
          <w:szCs w:val="24"/>
        </w:rPr>
        <w:t xml:space="preserve">based on either direct utilization of </w:t>
      </w:r>
      <w:proofErr w:type="spellStart"/>
      <w:r w:rsidR="00B243E1" w:rsidRPr="00D143CA">
        <w:rPr>
          <w:sz w:val="24"/>
          <w:szCs w:val="24"/>
        </w:rPr>
        <w:t>II</w:t>
      </w:r>
      <w:r w:rsidR="00972739">
        <w:rPr>
          <w:sz w:val="24"/>
          <w:szCs w:val="24"/>
        </w:rPr>
        <w:t>o</w:t>
      </w:r>
      <w:r w:rsidR="00B243E1" w:rsidRPr="00D143CA">
        <w:rPr>
          <w:sz w:val="24"/>
          <w:szCs w:val="24"/>
        </w:rPr>
        <w:t>T</w:t>
      </w:r>
      <w:proofErr w:type="spellEnd"/>
      <w:r w:rsidR="00B243E1" w:rsidRPr="00D143CA">
        <w:rPr>
          <w:sz w:val="24"/>
          <w:szCs w:val="24"/>
        </w:rPr>
        <w:t xml:space="preserve"> (22.2%), support of customers utilizing </w:t>
      </w:r>
      <w:proofErr w:type="spellStart"/>
      <w:r w:rsidR="00B243E1" w:rsidRPr="00D143CA">
        <w:rPr>
          <w:sz w:val="24"/>
          <w:szCs w:val="24"/>
        </w:rPr>
        <w:t>II</w:t>
      </w:r>
      <w:r w:rsidR="00972739">
        <w:rPr>
          <w:sz w:val="24"/>
          <w:szCs w:val="24"/>
        </w:rPr>
        <w:t>o</w:t>
      </w:r>
      <w:r w:rsidR="00B243E1" w:rsidRPr="00D143CA">
        <w:rPr>
          <w:sz w:val="24"/>
          <w:szCs w:val="24"/>
        </w:rPr>
        <w:t>T</w:t>
      </w:r>
      <w:proofErr w:type="spellEnd"/>
      <w:r w:rsidR="00B243E1" w:rsidRPr="00D143CA">
        <w:rPr>
          <w:sz w:val="24"/>
          <w:szCs w:val="24"/>
        </w:rPr>
        <w:t xml:space="preserve"> (55.6%), or the</w:t>
      </w:r>
      <w:r w:rsidRPr="00D143CA">
        <w:rPr>
          <w:sz w:val="24"/>
          <w:szCs w:val="24"/>
        </w:rPr>
        <w:t xml:space="preserve"> </w:t>
      </w:r>
      <w:r w:rsidR="007D203A">
        <w:rPr>
          <w:sz w:val="24"/>
          <w:szCs w:val="24"/>
        </w:rPr>
        <w:t>d</w:t>
      </w:r>
      <w:r w:rsidRPr="00D143CA">
        <w:rPr>
          <w:sz w:val="24"/>
          <w:szCs w:val="24"/>
        </w:rPr>
        <w:t xml:space="preserve">esign of products used in </w:t>
      </w:r>
      <w:proofErr w:type="spellStart"/>
      <w:r w:rsidRPr="00D143CA">
        <w:rPr>
          <w:sz w:val="24"/>
          <w:szCs w:val="24"/>
        </w:rPr>
        <w:t>II</w:t>
      </w:r>
      <w:r w:rsidR="00972739">
        <w:rPr>
          <w:sz w:val="24"/>
          <w:szCs w:val="24"/>
        </w:rPr>
        <w:t>o</w:t>
      </w:r>
      <w:r w:rsidRPr="00D143CA">
        <w:rPr>
          <w:sz w:val="24"/>
          <w:szCs w:val="24"/>
        </w:rPr>
        <w:t>T</w:t>
      </w:r>
      <w:proofErr w:type="spellEnd"/>
      <w:r w:rsidRPr="00D143CA">
        <w:rPr>
          <w:sz w:val="24"/>
          <w:szCs w:val="24"/>
        </w:rPr>
        <w:t xml:space="preserve"> (11.1%). Only 11.1% of the surveyed industry representatives did not see a direct value to their </w:t>
      </w:r>
      <w:r w:rsidR="00100820">
        <w:rPr>
          <w:sz w:val="24"/>
          <w:szCs w:val="24"/>
        </w:rPr>
        <w:t>company</w:t>
      </w:r>
      <w:r w:rsidR="00100820" w:rsidRPr="00D143CA">
        <w:rPr>
          <w:sz w:val="24"/>
          <w:szCs w:val="24"/>
        </w:rPr>
        <w:t xml:space="preserve"> </w:t>
      </w:r>
      <w:r w:rsidRPr="00D143CA">
        <w:rPr>
          <w:sz w:val="24"/>
          <w:szCs w:val="24"/>
        </w:rPr>
        <w:t>based on the education derived from the M</w:t>
      </w:r>
      <w:r w:rsidR="00E948C0">
        <w:rPr>
          <w:sz w:val="24"/>
          <w:szCs w:val="24"/>
        </w:rPr>
        <w:t>.</w:t>
      </w:r>
      <w:r w:rsidRPr="00D143CA">
        <w:rPr>
          <w:sz w:val="24"/>
          <w:szCs w:val="24"/>
        </w:rPr>
        <w:t>S</w:t>
      </w:r>
      <w:r w:rsidR="00E948C0">
        <w:rPr>
          <w:sz w:val="24"/>
          <w:szCs w:val="24"/>
        </w:rPr>
        <w:t>.</w:t>
      </w:r>
      <w:r w:rsidRPr="00D143CA">
        <w:rPr>
          <w:sz w:val="24"/>
          <w:szCs w:val="24"/>
        </w:rPr>
        <w:t>E</w:t>
      </w:r>
      <w:r w:rsidR="00E948C0">
        <w:rPr>
          <w:sz w:val="24"/>
          <w:szCs w:val="24"/>
        </w:rPr>
        <w:t>.</w:t>
      </w:r>
      <w:r w:rsidRPr="00D143CA">
        <w:rPr>
          <w:sz w:val="24"/>
          <w:szCs w:val="24"/>
        </w:rPr>
        <w:t>T</w:t>
      </w:r>
      <w:r w:rsidR="00E948C0">
        <w:rPr>
          <w:sz w:val="24"/>
          <w:szCs w:val="24"/>
        </w:rPr>
        <w:t>.</w:t>
      </w:r>
      <w:r w:rsidRPr="00D143CA">
        <w:rPr>
          <w:sz w:val="24"/>
          <w:szCs w:val="24"/>
        </w:rPr>
        <w:t xml:space="preserve"> degree</w:t>
      </w:r>
      <w:r w:rsidR="007D203A">
        <w:rPr>
          <w:sz w:val="24"/>
          <w:szCs w:val="24"/>
        </w:rPr>
        <w:t xml:space="preserve"> with the </w:t>
      </w:r>
      <w:r w:rsidR="007D203A" w:rsidRPr="00355C0D">
        <w:rPr>
          <w:sz w:val="24"/>
          <w:szCs w:val="24"/>
        </w:rPr>
        <w:t>ESET</w:t>
      </w:r>
      <w:r w:rsidR="007D203A">
        <w:rPr>
          <w:sz w:val="24"/>
          <w:szCs w:val="24"/>
        </w:rPr>
        <w:t xml:space="preserve"> </w:t>
      </w:r>
      <w:r w:rsidR="008A6B59">
        <w:rPr>
          <w:sz w:val="24"/>
          <w:szCs w:val="24"/>
        </w:rPr>
        <w:t>concentration</w:t>
      </w:r>
      <w:r w:rsidRPr="00D143CA">
        <w:rPr>
          <w:sz w:val="24"/>
          <w:szCs w:val="24"/>
        </w:rPr>
        <w:t>.</w:t>
      </w:r>
    </w:p>
    <w:p w14:paraId="3685CBC6" w14:textId="77777777" w:rsidR="00F97817" w:rsidRPr="00D143CA" w:rsidRDefault="00F97817" w:rsidP="00D143CA">
      <w:pPr>
        <w:jc w:val="both"/>
        <w:rPr>
          <w:sz w:val="24"/>
          <w:szCs w:val="24"/>
        </w:rPr>
      </w:pPr>
    </w:p>
    <w:p w14:paraId="504F58E4" w14:textId="36653152" w:rsidR="00F16EF0" w:rsidRPr="0074176C" w:rsidRDefault="00F16EF0" w:rsidP="0074176C">
      <w:pPr>
        <w:numPr>
          <w:ilvl w:val="0"/>
          <w:numId w:val="2"/>
        </w:numPr>
        <w:spacing w:after="120"/>
        <w:rPr>
          <w:b/>
          <w:sz w:val="24"/>
          <w:szCs w:val="24"/>
        </w:rPr>
      </w:pPr>
      <w:r w:rsidRPr="00F97817">
        <w:rPr>
          <w:b/>
          <w:sz w:val="24"/>
          <w:szCs w:val="24"/>
        </w:rPr>
        <w:t>Projected Enrollment</w:t>
      </w:r>
      <w:r w:rsidRPr="00F97817">
        <w:rPr>
          <w:b/>
          <w:sz w:val="24"/>
          <w:szCs w:val="24"/>
        </w:rPr>
        <w:tab/>
      </w:r>
    </w:p>
    <w:p w14:paraId="0F11F926" w14:textId="56B15124" w:rsidR="00F64F11" w:rsidRDefault="00A17C44" w:rsidP="00BE5B7D">
      <w:pPr>
        <w:ind w:left="720"/>
        <w:jc w:val="both"/>
        <w:rPr>
          <w:sz w:val="24"/>
          <w:szCs w:val="24"/>
        </w:rPr>
      </w:pPr>
      <w:r w:rsidRPr="00D143CA">
        <w:rPr>
          <w:sz w:val="24"/>
          <w:szCs w:val="24"/>
        </w:rPr>
        <w:t xml:space="preserve">It is anticipated that each </w:t>
      </w:r>
      <w:r w:rsidR="008A6B59">
        <w:rPr>
          <w:sz w:val="24"/>
          <w:szCs w:val="24"/>
        </w:rPr>
        <w:t>concentration</w:t>
      </w:r>
      <w:r w:rsidR="008A6B59" w:rsidRPr="00D143CA">
        <w:rPr>
          <w:sz w:val="24"/>
          <w:szCs w:val="24"/>
        </w:rPr>
        <w:t xml:space="preserve"> </w:t>
      </w:r>
      <w:r w:rsidRPr="00D143CA">
        <w:rPr>
          <w:sz w:val="24"/>
          <w:szCs w:val="24"/>
        </w:rPr>
        <w:t xml:space="preserve">will begin operations with a cohort of up to 20 students </w:t>
      </w:r>
      <w:r w:rsidR="008A6B59">
        <w:rPr>
          <w:sz w:val="24"/>
          <w:szCs w:val="24"/>
        </w:rPr>
        <w:t>for a total of 40</w:t>
      </w:r>
      <w:r w:rsidR="00100820">
        <w:rPr>
          <w:sz w:val="24"/>
          <w:szCs w:val="24"/>
        </w:rPr>
        <w:t xml:space="preserve"> new</w:t>
      </w:r>
      <w:r w:rsidR="008A6B59">
        <w:rPr>
          <w:sz w:val="24"/>
          <w:szCs w:val="24"/>
        </w:rPr>
        <w:t xml:space="preserve"> students in the degree </w:t>
      </w:r>
      <w:r w:rsidRPr="00D143CA">
        <w:rPr>
          <w:sz w:val="24"/>
          <w:szCs w:val="24"/>
        </w:rPr>
        <w:t xml:space="preserve">program per year. Assumptions include a 5% attrition rate and project a maximum enrollment of 30 students per semester per </w:t>
      </w:r>
      <w:r w:rsidR="008A6B59">
        <w:rPr>
          <w:sz w:val="24"/>
          <w:szCs w:val="24"/>
        </w:rPr>
        <w:t>concentration</w:t>
      </w:r>
      <w:r w:rsidR="008A6B59" w:rsidRPr="00D143CA">
        <w:rPr>
          <w:sz w:val="24"/>
          <w:szCs w:val="24"/>
        </w:rPr>
        <w:t xml:space="preserve"> </w:t>
      </w:r>
      <w:r w:rsidRPr="00D143CA">
        <w:rPr>
          <w:sz w:val="24"/>
          <w:szCs w:val="24"/>
        </w:rPr>
        <w:t xml:space="preserve">(60 total). </w:t>
      </w:r>
    </w:p>
    <w:p w14:paraId="3F8FE3DF" w14:textId="77777777" w:rsidR="00F97817" w:rsidRPr="00D143CA" w:rsidRDefault="00F97817" w:rsidP="00D143CA">
      <w:pPr>
        <w:jc w:val="both"/>
        <w:rPr>
          <w:sz w:val="24"/>
          <w:szCs w:val="24"/>
        </w:rPr>
      </w:pPr>
    </w:p>
    <w:p w14:paraId="58DB0969" w14:textId="5ECB32CF" w:rsidR="00F16EF0" w:rsidRPr="0074176C" w:rsidRDefault="00F16EF0" w:rsidP="0074176C">
      <w:pPr>
        <w:numPr>
          <w:ilvl w:val="0"/>
          <w:numId w:val="2"/>
        </w:numPr>
        <w:spacing w:after="120"/>
        <w:rPr>
          <w:b/>
          <w:sz w:val="24"/>
          <w:szCs w:val="24"/>
        </w:rPr>
      </w:pPr>
      <w:r w:rsidRPr="00F97817">
        <w:rPr>
          <w:b/>
          <w:sz w:val="24"/>
          <w:szCs w:val="24"/>
        </w:rPr>
        <w:t>Existing State Programs</w:t>
      </w:r>
    </w:p>
    <w:p w14:paraId="6604D8F5" w14:textId="2AF3384A" w:rsidR="00C920B4" w:rsidRDefault="00C920B4" w:rsidP="00BE5B7D">
      <w:pPr>
        <w:ind w:left="720"/>
        <w:jc w:val="both"/>
        <w:rPr>
          <w:sz w:val="24"/>
          <w:szCs w:val="24"/>
        </w:rPr>
      </w:pPr>
      <w:r w:rsidRPr="00D143CA">
        <w:rPr>
          <w:sz w:val="24"/>
          <w:szCs w:val="24"/>
        </w:rPr>
        <w:lastRenderedPageBreak/>
        <w:t>The proposed M</w:t>
      </w:r>
      <w:r w:rsidR="00E948C0">
        <w:rPr>
          <w:sz w:val="24"/>
          <w:szCs w:val="24"/>
        </w:rPr>
        <w:t>.</w:t>
      </w:r>
      <w:r w:rsidRPr="00D143CA">
        <w:rPr>
          <w:sz w:val="24"/>
          <w:szCs w:val="24"/>
        </w:rPr>
        <w:t>S</w:t>
      </w:r>
      <w:r w:rsidR="00E948C0">
        <w:rPr>
          <w:sz w:val="24"/>
          <w:szCs w:val="24"/>
        </w:rPr>
        <w:t>.</w:t>
      </w:r>
      <w:r w:rsidRPr="00D143CA">
        <w:rPr>
          <w:sz w:val="24"/>
          <w:szCs w:val="24"/>
        </w:rPr>
        <w:t>E</w:t>
      </w:r>
      <w:r w:rsidR="00E948C0">
        <w:rPr>
          <w:sz w:val="24"/>
          <w:szCs w:val="24"/>
        </w:rPr>
        <w:t>.</w:t>
      </w:r>
      <w:r w:rsidRPr="00D143CA">
        <w:rPr>
          <w:sz w:val="24"/>
          <w:szCs w:val="24"/>
        </w:rPr>
        <w:t>T</w:t>
      </w:r>
      <w:r w:rsidR="00E948C0">
        <w:rPr>
          <w:sz w:val="24"/>
          <w:szCs w:val="24"/>
        </w:rPr>
        <w:t>.</w:t>
      </w:r>
      <w:r w:rsidRPr="00D143CA">
        <w:rPr>
          <w:sz w:val="24"/>
          <w:szCs w:val="24"/>
        </w:rPr>
        <w:t xml:space="preserve"> program ha</w:t>
      </w:r>
      <w:r w:rsidR="008A6B59">
        <w:rPr>
          <w:sz w:val="24"/>
          <w:szCs w:val="24"/>
        </w:rPr>
        <w:t>s a</w:t>
      </w:r>
      <w:r w:rsidRPr="00D143CA">
        <w:rPr>
          <w:sz w:val="24"/>
          <w:szCs w:val="24"/>
        </w:rPr>
        <w:t xml:space="preserve"> unique focus and complement</w:t>
      </w:r>
      <w:r w:rsidR="008A6B59">
        <w:rPr>
          <w:sz w:val="24"/>
          <w:szCs w:val="24"/>
        </w:rPr>
        <w:t>s</w:t>
      </w:r>
      <w:r w:rsidRPr="00D143CA">
        <w:rPr>
          <w:sz w:val="24"/>
          <w:szCs w:val="24"/>
        </w:rPr>
        <w:t xml:space="preserve"> similar programs in Texas. Three universities in Texas currently offer a master</w:t>
      </w:r>
      <w:r w:rsidR="00E948C0">
        <w:rPr>
          <w:sz w:val="24"/>
          <w:szCs w:val="24"/>
        </w:rPr>
        <w:t>’s</w:t>
      </w:r>
      <w:r w:rsidRPr="00D143CA">
        <w:rPr>
          <w:sz w:val="24"/>
          <w:szCs w:val="24"/>
        </w:rPr>
        <w:t xml:space="preserve"> </w:t>
      </w:r>
      <w:r w:rsidR="00E948C0">
        <w:rPr>
          <w:sz w:val="24"/>
          <w:szCs w:val="24"/>
        </w:rPr>
        <w:t>in</w:t>
      </w:r>
      <w:r w:rsidRPr="00D143CA">
        <w:rPr>
          <w:sz w:val="24"/>
          <w:szCs w:val="24"/>
        </w:rPr>
        <w:t xml:space="preserve"> engineering technology (CIP code 15</w:t>
      </w:r>
      <w:r w:rsidR="008A6B59">
        <w:rPr>
          <w:sz w:val="24"/>
          <w:szCs w:val="24"/>
        </w:rPr>
        <w:t>.0000.00</w:t>
      </w:r>
      <w:r w:rsidRPr="00D143CA">
        <w:rPr>
          <w:sz w:val="24"/>
          <w:szCs w:val="24"/>
        </w:rPr>
        <w:t>) similar to the one proposed, each with structured concentrations similar to what is proposed here</w:t>
      </w:r>
      <w:r w:rsidR="005A5124" w:rsidRPr="00D143CA">
        <w:rPr>
          <w:sz w:val="24"/>
          <w:szCs w:val="24"/>
        </w:rPr>
        <w:t xml:space="preserve"> (University of North Texas</w:t>
      </w:r>
      <w:r w:rsidR="008A6B59">
        <w:rPr>
          <w:sz w:val="24"/>
          <w:szCs w:val="24"/>
        </w:rPr>
        <w:t xml:space="preserve"> (UNT)</w:t>
      </w:r>
      <w:r w:rsidR="005A5124" w:rsidRPr="00D143CA">
        <w:rPr>
          <w:sz w:val="24"/>
          <w:szCs w:val="24"/>
        </w:rPr>
        <w:t>, University of Houston</w:t>
      </w:r>
      <w:r w:rsidR="008A6B59">
        <w:rPr>
          <w:sz w:val="24"/>
          <w:szCs w:val="24"/>
        </w:rPr>
        <w:t xml:space="preserve"> (UH)</w:t>
      </w:r>
      <w:r w:rsidR="005A5124" w:rsidRPr="00D143CA">
        <w:rPr>
          <w:sz w:val="24"/>
          <w:szCs w:val="24"/>
        </w:rPr>
        <w:t>, and West Texas A&amp;M University</w:t>
      </w:r>
      <w:r w:rsidR="00701326">
        <w:rPr>
          <w:sz w:val="24"/>
          <w:szCs w:val="24"/>
        </w:rPr>
        <w:t xml:space="preserve"> (WTAMU)</w:t>
      </w:r>
      <w:r w:rsidRPr="00D143CA">
        <w:rPr>
          <w:sz w:val="24"/>
          <w:szCs w:val="24"/>
        </w:rPr>
        <w:t xml:space="preserve">. </w:t>
      </w:r>
      <w:r w:rsidR="002E75D4" w:rsidRPr="00D143CA">
        <w:rPr>
          <w:sz w:val="24"/>
          <w:szCs w:val="24"/>
        </w:rPr>
        <w:t xml:space="preserve">UNT and UH are included in the 10 largest programs nationally ranked by </w:t>
      </w:r>
      <w:r w:rsidR="008459D4">
        <w:rPr>
          <w:sz w:val="24"/>
          <w:szCs w:val="24"/>
        </w:rPr>
        <w:t xml:space="preserve">the </w:t>
      </w:r>
      <w:r w:rsidR="002E75D4" w:rsidRPr="00D143CA">
        <w:rPr>
          <w:sz w:val="24"/>
          <w:szCs w:val="24"/>
        </w:rPr>
        <w:t xml:space="preserve">number </w:t>
      </w:r>
      <w:r w:rsidR="008459D4">
        <w:rPr>
          <w:sz w:val="24"/>
          <w:szCs w:val="24"/>
        </w:rPr>
        <w:t xml:space="preserve">of </w:t>
      </w:r>
      <w:r w:rsidR="002E75D4" w:rsidRPr="00D143CA">
        <w:rPr>
          <w:sz w:val="24"/>
          <w:szCs w:val="24"/>
        </w:rPr>
        <w:t xml:space="preserve">completions for master’s level engineering technology programs. </w:t>
      </w:r>
      <w:r w:rsidRPr="00D143CA">
        <w:rPr>
          <w:sz w:val="24"/>
          <w:szCs w:val="24"/>
        </w:rPr>
        <w:t>The proposed M</w:t>
      </w:r>
      <w:r w:rsidR="00E948C0">
        <w:rPr>
          <w:sz w:val="24"/>
          <w:szCs w:val="24"/>
        </w:rPr>
        <w:t>.</w:t>
      </w:r>
      <w:r w:rsidRPr="00D143CA">
        <w:rPr>
          <w:sz w:val="24"/>
          <w:szCs w:val="24"/>
        </w:rPr>
        <w:t>S</w:t>
      </w:r>
      <w:r w:rsidR="00E948C0">
        <w:rPr>
          <w:sz w:val="24"/>
          <w:szCs w:val="24"/>
        </w:rPr>
        <w:t>.</w:t>
      </w:r>
      <w:r w:rsidRPr="00D143CA">
        <w:rPr>
          <w:sz w:val="24"/>
          <w:szCs w:val="24"/>
        </w:rPr>
        <w:t>E</w:t>
      </w:r>
      <w:r w:rsidR="00E948C0">
        <w:rPr>
          <w:sz w:val="24"/>
          <w:szCs w:val="24"/>
        </w:rPr>
        <w:t>.</w:t>
      </w:r>
      <w:r w:rsidRPr="00D143CA">
        <w:rPr>
          <w:sz w:val="24"/>
          <w:szCs w:val="24"/>
        </w:rPr>
        <w:t>T</w:t>
      </w:r>
      <w:r w:rsidR="00E948C0">
        <w:rPr>
          <w:sz w:val="24"/>
          <w:szCs w:val="24"/>
        </w:rPr>
        <w:t>.</w:t>
      </w:r>
      <w:r w:rsidRPr="00D143CA">
        <w:rPr>
          <w:sz w:val="24"/>
          <w:szCs w:val="24"/>
        </w:rPr>
        <w:t xml:space="preserve"> concentrations in </w:t>
      </w:r>
      <w:r w:rsidR="008A6B59">
        <w:rPr>
          <w:sz w:val="24"/>
          <w:szCs w:val="24"/>
        </w:rPr>
        <w:t>MMET and ESET</w:t>
      </w:r>
      <w:r w:rsidRPr="00D143CA">
        <w:rPr>
          <w:sz w:val="24"/>
          <w:szCs w:val="24"/>
        </w:rPr>
        <w:t xml:space="preserve"> uniquely integrate state of the art technical topics in their respective curricula while providing the graduates with application skills in engineering project and personnel supervision and management. None of the identified “similar” programs in Texas </w:t>
      </w:r>
      <w:r w:rsidR="006D640C" w:rsidRPr="00D143CA">
        <w:rPr>
          <w:sz w:val="24"/>
          <w:szCs w:val="24"/>
        </w:rPr>
        <w:t>provides</w:t>
      </w:r>
      <w:r w:rsidRPr="00D143CA">
        <w:rPr>
          <w:sz w:val="24"/>
          <w:szCs w:val="24"/>
        </w:rPr>
        <w:t xml:space="preserve"> integrated manufacturing and mechanical or </w:t>
      </w:r>
      <w:proofErr w:type="spellStart"/>
      <w:r w:rsidR="008A6B59">
        <w:rPr>
          <w:sz w:val="24"/>
          <w:szCs w:val="24"/>
        </w:rPr>
        <w:t>II</w:t>
      </w:r>
      <w:r w:rsidR="00972739">
        <w:rPr>
          <w:sz w:val="24"/>
          <w:szCs w:val="24"/>
        </w:rPr>
        <w:t>o</w:t>
      </w:r>
      <w:r w:rsidR="008A6B59">
        <w:rPr>
          <w:sz w:val="24"/>
          <w:szCs w:val="24"/>
        </w:rPr>
        <w:t>T</w:t>
      </w:r>
      <w:proofErr w:type="spellEnd"/>
      <w:r w:rsidR="00A17C44" w:rsidRPr="00D143CA">
        <w:rPr>
          <w:sz w:val="24"/>
          <w:szCs w:val="24"/>
        </w:rPr>
        <w:t xml:space="preserve"> education.</w:t>
      </w:r>
    </w:p>
    <w:p w14:paraId="63042AB5" w14:textId="77777777" w:rsidR="008A6B59" w:rsidRPr="00D143CA" w:rsidRDefault="008A6B59" w:rsidP="00BE5B7D">
      <w:pPr>
        <w:ind w:left="720"/>
        <w:jc w:val="both"/>
        <w:rPr>
          <w:sz w:val="24"/>
          <w:szCs w:val="24"/>
        </w:rPr>
      </w:pPr>
    </w:p>
    <w:p w14:paraId="31E75DB0" w14:textId="5DBE0273" w:rsidR="00C920B4" w:rsidRDefault="00C920B4" w:rsidP="00BE5B7D">
      <w:pPr>
        <w:ind w:left="720"/>
        <w:jc w:val="both"/>
        <w:rPr>
          <w:sz w:val="24"/>
          <w:szCs w:val="24"/>
        </w:rPr>
      </w:pPr>
      <w:r w:rsidRPr="00D143CA">
        <w:rPr>
          <w:sz w:val="24"/>
          <w:szCs w:val="24"/>
        </w:rPr>
        <w:t xml:space="preserve">Within </w:t>
      </w:r>
      <w:r w:rsidR="008A6B59">
        <w:rPr>
          <w:sz w:val="24"/>
          <w:szCs w:val="24"/>
        </w:rPr>
        <w:t>T</w:t>
      </w:r>
      <w:r w:rsidRPr="00D143CA">
        <w:rPr>
          <w:sz w:val="24"/>
          <w:szCs w:val="24"/>
        </w:rPr>
        <w:t>he Texas A&amp;M</w:t>
      </w:r>
      <w:r w:rsidR="00F66FF1">
        <w:rPr>
          <w:sz w:val="24"/>
          <w:szCs w:val="24"/>
        </w:rPr>
        <w:t xml:space="preserve"> University</w:t>
      </w:r>
      <w:r w:rsidRPr="00D143CA">
        <w:rPr>
          <w:sz w:val="24"/>
          <w:szCs w:val="24"/>
        </w:rPr>
        <w:t xml:space="preserve"> System,</w:t>
      </w:r>
      <w:r w:rsidR="000D425A">
        <w:rPr>
          <w:sz w:val="24"/>
          <w:szCs w:val="24"/>
        </w:rPr>
        <w:t xml:space="preserve"> with the exception of</w:t>
      </w:r>
      <w:r w:rsidR="000D425A" w:rsidRPr="00355C0D">
        <w:rPr>
          <w:sz w:val="24"/>
          <w:szCs w:val="24"/>
        </w:rPr>
        <w:t xml:space="preserve"> </w:t>
      </w:r>
      <w:r w:rsidR="00701326">
        <w:rPr>
          <w:sz w:val="24"/>
          <w:szCs w:val="24"/>
        </w:rPr>
        <w:t>WTAMU</w:t>
      </w:r>
      <w:r w:rsidR="000D425A">
        <w:rPr>
          <w:sz w:val="24"/>
          <w:szCs w:val="24"/>
        </w:rPr>
        <w:t>,</w:t>
      </w:r>
      <w:r w:rsidRPr="00D143CA">
        <w:rPr>
          <w:sz w:val="24"/>
          <w:szCs w:val="24"/>
        </w:rPr>
        <w:t xml:space="preserve"> all</w:t>
      </w:r>
      <w:r w:rsidR="008A6B59">
        <w:rPr>
          <w:sz w:val="24"/>
          <w:szCs w:val="24"/>
        </w:rPr>
        <w:t xml:space="preserve"> other</w:t>
      </w:r>
      <w:r w:rsidRPr="00D143CA">
        <w:rPr>
          <w:sz w:val="24"/>
          <w:szCs w:val="24"/>
        </w:rPr>
        <w:t xml:space="preserve"> </w:t>
      </w:r>
      <w:r w:rsidR="006D640C" w:rsidRPr="00D143CA">
        <w:rPr>
          <w:sz w:val="24"/>
          <w:szCs w:val="24"/>
        </w:rPr>
        <w:t>master’s</w:t>
      </w:r>
      <w:r w:rsidR="008A6B59">
        <w:rPr>
          <w:sz w:val="24"/>
          <w:szCs w:val="24"/>
        </w:rPr>
        <w:t xml:space="preserve"> degrees</w:t>
      </w:r>
      <w:r w:rsidRPr="00D143CA">
        <w:rPr>
          <w:sz w:val="24"/>
          <w:szCs w:val="24"/>
        </w:rPr>
        <w:t xml:space="preserve"> in engineering </w:t>
      </w:r>
      <w:r w:rsidR="002E75D4" w:rsidRPr="00D143CA">
        <w:rPr>
          <w:sz w:val="24"/>
          <w:szCs w:val="24"/>
        </w:rPr>
        <w:t>technology (Tarleton State University, Texas A&amp;M University-Kingsville and Texas A&amp;M University-Commerce</w:t>
      </w:r>
      <w:r w:rsidRPr="00D143CA">
        <w:rPr>
          <w:sz w:val="24"/>
          <w:szCs w:val="24"/>
        </w:rPr>
        <w:t xml:space="preserve">), </w:t>
      </w:r>
      <w:r w:rsidR="002E75D4" w:rsidRPr="00D143CA">
        <w:rPr>
          <w:sz w:val="24"/>
          <w:szCs w:val="24"/>
        </w:rPr>
        <w:t>are technology management oriented</w:t>
      </w:r>
      <w:r w:rsidRPr="00D143CA">
        <w:rPr>
          <w:sz w:val="24"/>
          <w:szCs w:val="24"/>
        </w:rPr>
        <w:t xml:space="preserve"> and </w:t>
      </w:r>
      <w:r w:rsidR="002E75D4" w:rsidRPr="00D143CA">
        <w:rPr>
          <w:sz w:val="24"/>
          <w:szCs w:val="24"/>
        </w:rPr>
        <w:t>are different from</w:t>
      </w:r>
      <w:r w:rsidRPr="00D143CA">
        <w:rPr>
          <w:sz w:val="24"/>
          <w:szCs w:val="24"/>
        </w:rPr>
        <w:t xml:space="preserve"> the more technical M</w:t>
      </w:r>
      <w:r w:rsidR="00E948C0">
        <w:rPr>
          <w:sz w:val="24"/>
          <w:szCs w:val="24"/>
        </w:rPr>
        <w:t>.</w:t>
      </w:r>
      <w:r w:rsidRPr="00D143CA">
        <w:rPr>
          <w:sz w:val="24"/>
          <w:szCs w:val="24"/>
        </w:rPr>
        <w:t>S</w:t>
      </w:r>
      <w:r w:rsidR="00E948C0">
        <w:rPr>
          <w:sz w:val="24"/>
          <w:szCs w:val="24"/>
        </w:rPr>
        <w:t>.</w:t>
      </w:r>
      <w:r w:rsidRPr="00D143CA">
        <w:rPr>
          <w:sz w:val="24"/>
          <w:szCs w:val="24"/>
        </w:rPr>
        <w:t>E</w:t>
      </w:r>
      <w:r w:rsidR="00E948C0">
        <w:rPr>
          <w:sz w:val="24"/>
          <w:szCs w:val="24"/>
        </w:rPr>
        <w:t>.</w:t>
      </w:r>
      <w:r w:rsidRPr="00D143CA">
        <w:rPr>
          <w:sz w:val="24"/>
          <w:szCs w:val="24"/>
        </w:rPr>
        <w:t>T</w:t>
      </w:r>
      <w:r w:rsidR="00E948C0">
        <w:rPr>
          <w:sz w:val="24"/>
          <w:szCs w:val="24"/>
        </w:rPr>
        <w:t>.</w:t>
      </w:r>
      <w:r w:rsidRPr="00D143CA">
        <w:rPr>
          <w:sz w:val="24"/>
          <w:szCs w:val="24"/>
        </w:rPr>
        <w:t xml:space="preserve"> degree proposed. </w:t>
      </w:r>
    </w:p>
    <w:p w14:paraId="1401ED0D" w14:textId="77777777" w:rsidR="00F97817" w:rsidRPr="00D143CA" w:rsidRDefault="00F97817" w:rsidP="00D143CA">
      <w:pPr>
        <w:jc w:val="both"/>
        <w:rPr>
          <w:sz w:val="24"/>
          <w:szCs w:val="24"/>
        </w:rPr>
      </w:pPr>
    </w:p>
    <w:p w14:paraId="28EFC379" w14:textId="7DF7545A" w:rsidR="00F16EF0" w:rsidRDefault="00F16EF0" w:rsidP="00701326">
      <w:pPr>
        <w:pStyle w:val="Heading1"/>
        <w:numPr>
          <w:ilvl w:val="0"/>
          <w:numId w:val="1"/>
        </w:numPr>
        <w:ind w:left="360" w:hanging="360"/>
        <w:rPr>
          <w:b/>
          <w:szCs w:val="24"/>
        </w:rPr>
      </w:pPr>
      <w:r w:rsidRPr="00F97817">
        <w:rPr>
          <w:b/>
          <w:szCs w:val="24"/>
        </w:rPr>
        <w:t>QUALITY &amp; RESOURCES</w:t>
      </w:r>
    </w:p>
    <w:p w14:paraId="146BFD4E" w14:textId="77777777" w:rsidR="00701326" w:rsidRPr="00701326" w:rsidRDefault="00701326" w:rsidP="00701326"/>
    <w:p w14:paraId="2742AB28" w14:textId="44658AE0" w:rsidR="00F97817" w:rsidRDefault="00F16EF0" w:rsidP="00701326">
      <w:pPr>
        <w:numPr>
          <w:ilvl w:val="0"/>
          <w:numId w:val="3"/>
        </w:numPr>
        <w:rPr>
          <w:b/>
          <w:sz w:val="24"/>
          <w:szCs w:val="24"/>
        </w:rPr>
      </w:pPr>
      <w:r w:rsidRPr="00F97817">
        <w:rPr>
          <w:b/>
          <w:sz w:val="24"/>
          <w:szCs w:val="24"/>
        </w:rPr>
        <w:t>Faculty</w:t>
      </w:r>
    </w:p>
    <w:p w14:paraId="068D81E7" w14:textId="77777777" w:rsidR="00701326" w:rsidRPr="0074176C" w:rsidRDefault="00701326" w:rsidP="00701326">
      <w:pPr>
        <w:ind w:left="720"/>
        <w:rPr>
          <w:b/>
          <w:sz w:val="24"/>
          <w:szCs w:val="24"/>
        </w:rPr>
      </w:pPr>
    </w:p>
    <w:p w14:paraId="45559FB8" w14:textId="3E1FEB16" w:rsidR="005424C3" w:rsidRDefault="003E064A" w:rsidP="00BE5B7D">
      <w:pPr>
        <w:ind w:left="720"/>
        <w:jc w:val="both"/>
        <w:rPr>
          <w:sz w:val="24"/>
          <w:szCs w:val="24"/>
        </w:rPr>
      </w:pPr>
      <w:r w:rsidRPr="00D143CA">
        <w:rPr>
          <w:sz w:val="24"/>
          <w:szCs w:val="24"/>
        </w:rPr>
        <w:t>F</w:t>
      </w:r>
      <w:r w:rsidR="00C920B4" w:rsidRPr="00D143CA">
        <w:rPr>
          <w:sz w:val="24"/>
          <w:szCs w:val="24"/>
        </w:rPr>
        <w:t>aculty</w:t>
      </w:r>
      <w:r w:rsidRPr="00D143CA">
        <w:rPr>
          <w:sz w:val="24"/>
          <w:szCs w:val="24"/>
        </w:rPr>
        <w:t xml:space="preserve"> from </w:t>
      </w:r>
      <w:r w:rsidR="000D425A">
        <w:rPr>
          <w:sz w:val="24"/>
          <w:szCs w:val="24"/>
        </w:rPr>
        <w:t>ETID</w:t>
      </w:r>
      <w:r w:rsidRPr="00D143CA">
        <w:rPr>
          <w:sz w:val="24"/>
          <w:szCs w:val="24"/>
        </w:rPr>
        <w:t xml:space="preserve"> will provide </w:t>
      </w:r>
      <w:r w:rsidR="000D425A">
        <w:rPr>
          <w:sz w:val="24"/>
          <w:szCs w:val="24"/>
        </w:rPr>
        <w:t>c</w:t>
      </w:r>
      <w:r w:rsidRPr="00D143CA">
        <w:rPr>
          <w:sz w:val="24"/>
          <w:szCs w:val="24"/>
        </w:rPr>
        <w:t xml:space="preserve">ore and </w:t>
      </w:r>
      <w:r w:rsidR="000D425A">
        <w:rPr>
          <w:sz w:val="24"/>
          <w:szCs w:val="24"/>
        </w:rPr>
        <w:t>s</w:t>
      </w:r>
      <w:r w:rsidRPr="00D143CA">
        <w:rPr>
          <w:sz w:val="24"/>
          <w:szCs w:val="24"/>
        </w:rPr>
        <w:t xml:space="preserve">upport roles in the proposed degree, including </w:t>
      </w:r>
      <w:r w:rsidR="008459D4">
        <w:rPr>
          <w:sz w:val="24"/>
          <w:szCs w:val="24"/>
        </w:rPr>
        <w:t xml:space="preserve">eight </w:t>
      </w:r>
      <w:r w:rsidR="0075491D">
        <w:rPr>
          <w:sz w:val="24"/>
          <w:szCs w:val="24"/>
        </w:rPr>
        <w:t>f</w:t>
      </w:r>
      <w:r w:rsidRPr="00D143CA">
        <w:rPr>
          <w:sz w:val="24"/>
          <w:szCs w:val="24"/>
        </w:rPr>
        <w:t xml:space="preserve">ull </w:t>
      </w:r>
      <w:r w:rsidR="0075491D">
        <w:rPr>
          <w:sz w:val="24"/>
          <w:szCs w:val="24"/>
        </w:rPr>
        <w:t>p</w:t>
      </w:r>
      <w:r w:rsidRPr="00D143CA">
        <w:rPr>
          <w:sz w:val="24"/>
          <w:szCs w:val="24"/>
        </w:rPr>
        <w:t>rofessor</w:t>
      </w:r>
      <w:r w:rsidR="008459D4">
        <w:rPr>
          <w:sz w:val="24"/>
          <w:szCs w:val="24"/>
        </w:rPr>
        <w:t>s</w:t>
      </w:r>
      <w:r w:rsidRPr="00D143CA">
        <w:rPr>
          <w:sz w:val="24"/>
          <w:szCs w:val="24"/>
        </w:rPr>
        <w:t xml:space="preserve">, </w:t>
      </w:r>
      <w:r w:rsidR="008459D4">
        <w:rPr>
          <w:sz w:val="24"/>
          <w:szCs w:val="24"/>
        </w:rPr>
        <w:t xml:space="preserve">seven </w:t>
      </w:r>
      <w:r w:rsidR="0075491D">
        <w:rPr>
          <w:sz w:val="24"/>
          <w:szCs w:val="24"/>
        </w:rPr>
        <w:t>a</w:t>
      </w:r>
      <w:r w:rsidRPr="00D143CA">
        <w:rPr>
          <w:sz w:val="24"/>
          <w:szCs w:val="24"/>
        </w:rPr>
        <w:t xml:space="preserve">ssociate </w:t>
      </w:r>
      <w:r w:rsidR="0075491D">
        <w:rPr>
          <w:sz w:val="24"/>
          <w:szCs w:val="24"/>
        </w:rPr>
        <w:t>p</w:t>
      </w:r>
      <w:r w:rsidRPr="00D143CA">
        <w:rPr>
          <w:sz w:val="24"/>
          <w:szCs w:val="24"/>
        </w:rPr>
        <w:t>rofessor</w:t>
      </w:r>
      <w:r w:rsidR="008459D4">
        <w:rPr>
          <w:sz w:val="24"/>
          <w:szCs w:val="24"/>
        </w:rPr>
        <w:t>s</w:t>
      </w:r>
      <w:r w:rsidRPr="00D143CA">
        <w:rPr>
          <w:sz w:val="24"/>
          <w:szCs w:val="24"/>
        </w:rPr>
        <w:t xml:space="preserve">, </w:t>
      </w:r>
      <w:r w:rsidR="005A5124" w:rsidRPr="00D143CA">
        <w:rPr>
          <w:sz w:val="24"/>
          <w:szCs w:val="24"/>
        </w:rPr>
        <w:t xml:space="preserve">and </w:t>
      </w:r>
      <w:r w:rsidR="008459D4">
        <w:rPr>
          <w:sz w:val="24"/>
          <w:szCs w:val="24"/>
        </w:rPr>
        <w:t xml:space="preserve">six </w:t>
      </w:r>
      <w:r w:rsidR="0075491D">
        <w:rPr>
          <w:sz w:val="24"/>
          <w:szCs w:val="24"/>
        </w:rPr>
        <w:t>a</w:t>
      </w:r>
      <w:r w:rsidRPr="00D143CA">
        <w:rPr>
          <w:sz w:val="24"/>
          <w:szCs w:val="24"/>
        </w:rPr>
        <w:t>ssi</w:t>
      </w:r>
      <w:r w:rsidR="005A5124" w:rsidRPr="00D143CA">
        <w:rPr>
          <w:sz w:val="24"/>
          <w:szCs w:val="24"/>
        </w:rPr>
        <w:t>s</w:t>
      </w:r>
      <w:r w:rsidRPr="00D143CA">
        <w:rPr>
          <w:sz w:val="24"/>
          <w:szCs w:val="24"/>
        </w:rPr>
        <w:t xml:space="preserve">tant </w:t>
      </w:r>
      <w:r w:rsidR="008459D4">
        <w:rPr>
          <w:sz w:val="24"/>
          <w:szCs w:val="24"/>
        </w:rPr>
        <w:t>p</w:t>
      </w:r>
      <w:r w:rsidRPr="00D143CA">
        <w:rPr>
          <w:sz w:val="24"/>
          <w:szCs w:val="24"/>
        </w:rPr>
        <w:t>rofessor</w:t>
      </w:r>
      <w:r w:rsidR="008459D4">
        <w:rPr>
          <w:sz w:val="24"/>
          <w:szCs w:val="24"/>
        </w:rPr>
        <w:t>s</w:t>
      </w:r>
      <w:r w:rsidR="00C920B4" w:rsidRPr="00D143CA">
        <w:rPr>
          <w:sz w:val="24"/>
          <w:szCs w:val="24"/>
        </w:rPr>
        <w:t xml:space="preserve">.  </w:t>
      </w:r>
      <w:r w:rsidR="005A5124" w:rsidRPr="00D143CA">
        <w:rPr>
          <w:sz w:val="24"/>
          <w:szCs w:val="24"/>
        </w:rPr>
        <w:t>T</w:t>
      </w:r>
      <w:r w:rsidR="00C920B4" w:rsidRPr="00D143CA">
        <w:rPr>
          <w:sz w:val="24"/>
          <w:szCs w:val="24"/>
        </w:rPr>
        <w:t xml:space="preserve">he estimated faculty full-time equivalent (FTE) per semester for the first </w:t>
      </w:r>
      <w:r w:rsidR="00345D80">
        <w:rPr>
          <w:sz w:val="24"/>
          <w:szCs w:val="24"/>
        </w:rPr>
        <w:t xml:space="preserve">five </w:t>
      </w:r>
      <w:r w:rsidR="00C920B4" w:rsidRPr="00D143CA">
        <w:rPr>
          <w:sz w:val="24"/>
          <w:szCs w:val="24"/>
        </w:rPr>
        <w:t xml:space="preserve">years of the program is less than </w:t>
      </w:r>
      <w:r w:rsidR="00345D80">
        <w:rPr>
          <w:sz w:val="24"/>
          <w:szCs w:val="24"/>
        </w:rPr>
        <w:t>two</w:t>
      </w:r>
      <w:r w:rsidR="00C920B4" w:rsidRPr="00D143CA">
        <w:rPr>
          <w:sz w:val="24"/>
          <w:szCs w:val="24"/>
        </w:rPr>
        <w:t xml:space="preserve"> FTEs per concentration</w:t>
      </w:r>
      <w:r w:rsidR="00C920B4" w:rsidRPr="00467567">
        <w:rPr>
          <w:sz w:val="24"/>
          <w:szCs w:val="24"/>
        </w:rPr>
        <w:t>; this will be easily covered by the current faculty and planned new faculty hires in each program. The percent of time each professor is assigned to the program is only valid if the professor is teaching a course in any one semester (</w:t>
      </w:r>
      <w:r w:rsidR="00E948C0">
        <w:rPr>
          <w:sz w:val="24"/>
          <w:szCs w:val="24"/>
        </w:rPr>
        <w:t>f</w:t>
      </w:r>
      <w:r w:rsidR="00C920B4" w:rsidRPr="00467567">
        <w:rPr>
          <w:sz w:val="24"/>
          <w:szCs w:val="24"/>
        </w:rPr>
        <w:t xml:space="preserve">all, </w:t>
      </w:r>
      <w:r w:rsidR="00E948C0">
        <w:rPr>
          <w:sz w:val="24"/>
          <w:szCs w:val="24"/>
        </w:rPr>
        <w:t>s</w:t>
      </w:r>
      <w:r w:rsidR="00C920B4" w:rsidRPr="00467567">
        <w:rPr>
          <w:sz w:val="24"/>
          <w:szCs w:val="24"/>
        </w:rPr>
        <w:t xml:space="preserve">pring or </w:t>
      </w:r>
      <w:r w:rsidR="00E948C0">
        <w:rPr>
          <w:sz w:val="24"/>
          <w:szCs w:val="24"/>
        </w:rPr>
        <w:t>s</w:t>
      </w:r>
      <w:r w:rsidR="00C920B4" w:rsidRPr="00467567">
        <w:rPr>
          <w:sz w:val="24"/>
          <w:szCs w:val="24"/>
        </w:rPr>
        <w:t>ummer). During a specific semester where a current faculty is re-assigned to teach a course in the new program, the department will be provided support from the college for the designated percentage of equivalent annual support, and use this funding to hire qualified instructors to fulfill the current teaching obligations of the re-assigned faculty.</w:t>
      </w:r>
    </w:p>
    <w:p w14:paraId="18E77890" w14:textId="77777777" w:rsidR="00701326" w:rsidRDefault="00701326" w:rsidP="00701326">
      <w:pPr>
        <w:jc w:val="both"/>
        <w:rPr>
          <w:sz w:val="24"/>
          <w:szCs w:val="24"/>
        </w:rPr>
      </w:pPr>
    </w:p>
    <w:p w14:paraId="2C991A35" w14:textId="22DD6FE3" w:rsidR="00C920B4" w:rsidRDefault="00F16EF0" w:rsidP="00701326">
      <w:pPr>
        <w:numPr>
          <w:ilvl w:val="0"/>
          <w:numId w:val="3"/>
        </w:numPr>
        <w:rPr>
          <w:b/>
          <w:sz w:val="24"/>
          <w:szCs w:val="24"/>
        </w:rPr>
      </w:pPr>
      <w:r w:rsidRPr="00F97817">
        <w:rPr>
          <w:b/>
          <w:sz w:val="24"/>
          <w:szCs w:val="24"/>
        </w:rPr>
        <w:t>Program Administration</w:t>
      </w:r>
    </w:p>
    <w:p w14:paraId="241A10F0" w14:textId="77777777" w:rsidR="00701326" w:rsidRPr="0074176C" w:rsidRDefault="00701326" w:rsidP="00701326">
      <w:pPr>
        <w:ind w:left="720"/>
        <w:rPr>
          <w:b/>
          <w:sz w:val="24"/>
          <w:szCs w:val="24"/>
        </w:rPr>
      </w:pPr>
    </w:p>
    <w:p w14:paraId="79167FAC" w14:textId="7074D34B" w:rsidR="00F97817" w:rsidRDefault="00761D47" w:rsidP="00BE5B7D">
      <w:pPr>
        <w:ind w:left="720"/>
        <w:jc w:val="both"/>
        <w:rPr>
          <w:sz w:val="24"/>
          <w:szCs w:val="24"/>
        </w:rPr>
      </w:pPr>
      <w:r>
        <w:rPr>
          <w:sz w:val="24"/>
          <w:szCs w:val="24"/>
        </w:rPr>
        <w:t xml:space="preserve">An additional graduate advisor will be needed at a cost </w:t>
      </w:r>
      <w:r w:rsidR="004A319B" w:rsidRPr="00467567">
        <w:rPr>
          <w:sz w:val="24"/>
          <w:szCs w:val="24"/>
        </w:rPr>
        <w:t>of $160,062</w:t>
      </w:r>
      <w:r w:rsidR="00100820">
        <w:rPr>
          <w:sz w:val="24"/>
          <w:szCs w:val="24"/>
        </w:rPr>
        <w:t xml:space="preserve"> over the first five years</w:t>
      </w:r>
      <w:r w:rsidR="000D425A">
        <w:rPr>
          <w:sz w:val="24"/>
          <w:szCs w:val="24"/>
        </w:rPr>
        <w:t xml:space="preserve">.  Administrative support </w:t>
      </w:r>
      <w:r w:rsidR="00100820">
        <w:rPr>
          <w:sz w:val="24"/>
          <w:szCs w:val="24"/>
        </w:rPr>
        <w:t xml:space="preserve">will </w:t>
      </w:r>
      <w:r w:rsidR="000D425A">
        <w:rPr>
          <w:sz w:val="24"/>
          <w:szCs w:val="24"/>
        </w:rPr>
        <w:t>be provided by existing personnel in ETID.</w:t>
      </w:r>
    </w:p>
    <w:p w14:paraId="75BEE9EF" w14:textId="77777777" w:rsidR="00456823" w:rsidRPr="00467567" w:rsidRDefault="00456823" w:rsidP="00701326">
      <w:pPr>
        <w:jc w:val="both"/>
        <w:rPr>
          <w:sz w:val="24"/>
          <w:szCs w:val="24"/>
        </w:rPr>
      </w:pPr>
    </w:p>
    <w:p w14:paraId="6F2CF11A" w14:textId="4FE87625" w:rsidR="00F16EF0" w:rsidRPr="00701326" w:rsidRDefault="00F16EF0" w:rsidP="00701326">
      <w:pPr>
        <w:numPr>
          <w:ilvl w:val="0"/>
          <w:numId w:val="3"/>
        </w:numPr>
        <w:rPr>
          <w:sz w:val="24"/>
          <w:szCs w:val="24"/>
        </w:rPr>
      </w:pPr>
      <w:r w:rsidRPr="00F97817">
        <w:rPr>
          <w:b/>
          <w:sz w:val="24"/>
          <w:szCs w:val="24"/>
        </w:rPr>
        <w:t>Other Personnel</w:t>
      </w:r>
    </w:p>
    <w:p w14:paraId="24094A67" w14:textId="77777777" w:rsidR="00701326" w:rsidRPr="00F97817" w:rsidRDefault="00701326" w:rsidP="00701326">
      <w:pPr>
        <w:ind w:left="720"/>
        <w:rPr>
          <w:sz w:val="24"/>
          <w:szCs w:val="24"/>
        </w:rPr>
      </w:pPr>
    </w:p>
    <w:p w14:paraId="0F8DFBF6" w14:textId="47D46E1A" w:rsidR="001C6824" w:rsidRDefault="00B30691" w:rsidP="00BE5B7D">
      <w:pPr>
        <w:ind w:left="720"/>
        <w:jc w:val="both"/>
        <w:rPr>
          <w:sz w:val="24"/>
          <w:szCs w:val="24"/>
        </w:rPr>
      </w:pPr>
      <w:r>
        <w:rPr>
          <w:sz w:val="24"/>
          <w:szCs w:val="24"/>
        </w:rPr>
        <w:t>Two new graduate teaching assistants will be needed to support the M</w:t>
      </w:r>
      <w:r w:rsidR="00133AC6">
        <w:rPr>
          <w:sz w:val="24"/>
          <w:szCs w:val="24"/>
        </w:rPr>
        <w:t>.</w:t>
      </w:r>
      <w:r>
        <w:rPr>
          <w:sz w:val="24"/>
          <w:szCs w:val="24"/>
        </w:rPr>
        <w:t>S</w:t>
      </w:r>
      <w:r w:rsidR="00133AC6">
        <w:rPr>
          <w:sz w:val="24"/>
          <w:szCs w:val="24"/>
        </w:rPr>
        <w:t>.</w:t>
      </w:r>
      <w:r>
        <w:rPr>
          <w:sz w:val="24"/>
          <w:szCs w:val="24"/>
        </w:rPr>
        <w:t>E</w:t>
      </w:r>
      <w:r w:rsidR="00133AC6">
        <w:rPr>
          <w:sz w:val="24"/>
          <w:szCs w:val="24"/>
        </w:rPr>
        <w:t>.</w:t>
      </w:r>
      <w:r>
        <w:rPr>
          <w:sz w:val="24"/>
          <w:szCs w:val="24"/>
        </w:rPr>
        <w:t>T</w:t>
      </w:r>
      <w:r w:rsidR="00133AC6">
        <w:rPr>
          <w:sz w:val="24"/>
          <w:szCs w:val="24"/>
        </w:rPr>
        <w:t>.</w:t>
      </w:r>
      <w:r>
        <w:rPr>
          <w:sz w:val="24"/>
          <w:szCs w:val="24"/>
        </w:rPr>
        <w:t xml:space="preserve"> courses</w:t>
      </w:r>
      <w:r w:rsidR="00761D47">
        <w:rPr>
          <w:sz w:val="24"/>
          <w:szCs w:val="24"/>
        </w:rPr>
        <w:t xml:space="preserve"> at a cost of </w:t>
      </w:r>
      <w:r w:rsidR="001C6824">
        <w:rPr>
          <w:sz w:val="24"/>
          <w:szCs w:val="24"/>
        </w:rPr>
        <w:t>$316,484</w:t>
      </w:r>
      <w:r w:rsidR="00100820">
        <w:rPr>
          <w:sz w:val="24"/>
          <w:szCs w:val="24"/>
        </w:rPr>
        <w:t xml:space="preserve"> over the first five years</w:t>
      </w:r>
      <w:r w:rsidR="001C6824">
        <w:rPr>
          <w:sz w:val="24"/>
          <w:szCs w:val="24"/>
        </w:rPr>
        <w:t>.</w:t>
      </w:r>
    </w:p>
    <w:p w14:paraId="164620C8" w14:textId="77777777" w:rsidR="00701326" w:rsidRDefault="00701326" w:rsidP="00701326">
      <w:pPr>
        <w:jc w:val="both"/>
        <w:rPr>
          <w:sz w:val="24"/>
          <w:szCs w:val="24"/>
        </w:rPr>
      </w:pPr>
    </w:p>
    <w:p w14:paraId="09173B37" w14:textId="0DA6ECBB" w:rsidR="00F97817" w:rsidRDefault="00F16EF0" w:rsidP="00701326">
      <w:pPr>
        <w:numPr>
          <w:ilvl w:val="0"/>
          <w:numId w:val="3"/>
        </w:numPr>
        <w:rPr>
          <w:b/>
          <w:sz w:val="24"/>
          <w:szCs w:val="24"/>
        </w:rPr>
      </w:pPr>
      <w:r w:rsidRPr="00F97817">
        <w:rPr>
          <w:b/>
          <w:sz w:val="24"/>
          <w:szCs w:val="24"/>
        </w:rPr>
        <w:t>Supplies, Materials</w:t>
      </w:r>
    </w:p>
    <w:p w14:paraId="57D46DEA" w14:textId="77777777" w:rsidR="00701326" w:rsidRPr="0074176C" w:rsidRDefault="00701326" w:rsidP="00701326">
      <w:pPr>
        <w:ind w:left="720"/>
        <w:rPr>
          <w:b/>
          <w:sz w:val="24"/>
          <w:szCs w:val="24"/>
        </w:rPr>
      </w:pPr>
    </w:p>
    <w:p w14:paraId="5DF886E8" w14:textId="29317836" w:rsidR="00F97817" w:rsidRDefault="008459D4" w:rsidP="00BE5B7D">
      <w:pPr>
        <w:ind w:left="720"/>
        <w:jc w:val="both"/>
        <w:rPr>
          <w:sz w:val="24"/>
          <w:szCs w:val="24"/>
        </w:rPr>
      </w:pPr>
      <w:r>
        <w:rPr>
          <w:sz w:val="24"/>
          <w:szCs w:val="24"/>
        </w:rPr>
        <w:t xml:space="preserve">An estimated $60,000 in </w:t>
      </w:r>
      <w:r w:rsidR="007E0FE3" w:rsidRPr="00005D74">
        <w:rPr>
          <w:sz w:val="24"/>
          <w:szCs w:val="24"/>
        </w:rPr>
        <w:t xml:space="preserve">supplies </w:t>
      </w:r>
      <w:r>
        <w:rPr>
          <w:sz w:val="24"/>
          <w:szCs w:val="24"/>
        </w:rPr>
        <w:t xml:space="preserve">and materials </w:t>
      </w:r>
      <w:r w:rsidR="007E0FE3" w:rsidRPr="00005D74">
        <w:rPr>
          <w:sz w:val="24"/>
          <w:szCs w:val="24"/>
        </w:rPr>
        <w:t xml:space="preserve">will be required </w:t>
      </w:r>
      <w:r>
        <w:rPr>
          <w:sz w:val="24"/>
          <w:szCs w:val="24"/>
        </w:rPr>
        <w:t xml:space="preserve">for </w:t>
      </w:r>
      <w:r w:rsidR="007E0FE3" w:rsidRPr="00005D74">
        <w:rPr>
          <w:sz w:val="24"/>
          <w:szCs w:val="24"/>
        </w:rPr>
        <w:t>laboratories to accommodate the M</w:t>
      </w:r>
      <w:r w:rsidR="00133AC6">
        <w:rPr>
          <w:sz w:val="24"/>
          <w:szCs w:val="24"/>
        </w:rPr>
        <w:t>.</w:t>
      </w:r>
      <w:r w:rsidR="007E0FE3" w:rsidRPr="00005D74">
        <w:rPr>
          <w:sz w:val="24"/>
          <w:szCs w:val="24"/>
        </w:rPr>
        <w:t>S</w:t>
      </w:r>
      <w:r w:rsidR="00133AC6">
        <w:rPr>
          <w:sz w:val="24"/>
          <w:szCs w:val="24"/>
        </w:rPr>
        <w:t>.</w:t>
      </w:r>
      <w:r w:rsidR="007E0FE3" w:rsidRPr="00005D74">
        <w:rPr>
          <w:sz w:val="24"/>
          <w:szCs w:val="24"/>
        </w:rPr>
        <w:t>E</w:t>
      </w:r>
      <w:r>
        <w:rPr>
          <w:sz w:val="24"/>
          <w:szCs w:val="24"/>
        </w:rPr>
        <w:t>.</w:t>
      </w:r>
      <w:r w:rsidR="007E0FE3" w:rsidRPr="00005D74">
        <w:rPr>
          <w:sz w:val="24"/>
          <w:szCs w:val="24"/>
        </w:rPr>
        <w:t>T</w:t>
      </w:r>
      <w:r>
        <w:rPr>
          <w:sz w:val="24"/>
          <w:szCs w:val="24"/>
        </w:rPr>
        <w:t>.</w:t>
      </w:r>
      <w:r w:rsidR="007E0FE3" w:rsidRPr="00005D74">
        <w:rPr>
          <w:sz w:val="24"/>
          <w:szCs w:val="24"/>
        </w:rPr>
        <w:t xml:space="preserve"> degree.</w:t>
      </w:r>
    </w:p>
    <w:p w14:paraId="4AB1C794" w14:textId="77777777" w:rsidR="00701326" w:rsidRPr="00467567" w:rsidRDefault="00701326" w:rsidP="00701326">
      <w:pPr>
        <w:jc w:val="both"/>
        <w:rPr>
          <w:sz w:val="24"/>
          <w:szCs w:val="24"/>
        </w:rPr>
      </w:pPr>
    </w:p>
    <w:p w14:paraId="49C73419" w14:textId="68097142" w:rsidR="00F97817" w:rsidRDefault="00F16EF0" w:rsidP="00701326">
      <w:pPr>
        <w:numPr>
          <w:ilvl w:val="0"/>
          <w:numId w:val="3"/>
        </w:numPr>
        <w:rPr>
          <w:b/>
          <w:sz w:val="24"/>
          <w:szCs w:val="24"/>
        </w:rPr>
      </w:pPr>
      <w:r w:rsidRPr="00F97817">
        <w:rPr>
          <w:b/>
          <w:sz w:val="24"/>
          <w:szCs w:val="24"/>
        </w:rPr>
        <w:t xml:space="preserve">Library  </w:t>
      </w:r>
    </w:p>
    <w:p w14:paraId="4D4AE8F0" w14:textId="77777777" w:rsidR="00701326" w:rsidRPr="0074176C" w:rsidRDefault="00701326" w:rsidP="00701326">
      <w:pPr>
        <w:ind w:left="720"/>
        <w:rPr>
          <w:b/>
          <w:sz w:val="24"/>
          <w:szCs w:val="24"/>
        </w:rPr>
      </w:pPr>
    </w:p>
    <w:p w14:paraId="31511E62" w14:textId="4E1FD99D" w:rsidR="00F97817" w:rsidRDefault="006D640C" w:rsidP="00BE5B7D">
      <w:pPr>
        <w:ind w:left="720"/>
        <w:jc w:val="both"/>
        <w:rPr>
          <w:sz w:val="24"/>
          <w:szCs w:val="24"/>
        </w:rPr>
      </w:pPr>
      <w:r>
        <w:rPr>
          <w:sz w:val="24"/>
          <w:szCs w:val="24"/>
        </w:rPr>
        <w:lastRenderedPageBreak/>
        <w:t xml:space="preserve">Existing library resources will be sufficient.  No additional library resources </w:t>
      </w:r>
      <w:r w:rsidR="00B45253">
        <w:rPr>
          <w:sz w:val="24"/>
          <w:szCs w:val="24"/>
        </w:rPr>
        <w:t>are anticipated</w:t>
      </w:r>
      <w:r>
        <w:rPr>
          <w:sz w:val="24"/>
          <w:szCs w:val="24"/>
        </w:rPr>
        <w:t>.</w:t>
      </w:r>
    </w:p>
    <w:p w14:paraId="36EC37C0" w14:textId="77777777" w:rsidR="00701326" w:rsidRPr="00467567" w:rsidRDefault="00701326" w:rsidP="00701326">
      <w:pPr>
        <w:jc w:val="both"/>
        <w:rPr>
          <w:sz w:val="24"/>
          <w:szCs w:val="24"/>
        </w:rPr>
      </w:pPr>
    </w:p>
    <w:p w14:paraId="0531B76C" w14:textId="7A6FBA40" w:rsidR="00F97817" w:rsidRDefault="0074176C" w:rsidP="00701326">
      <w:pPr>
        <w:numPr>
          <w:ilvl w:val="0"/>
          <w:numId w:val="3"/>
        </w:numPr>
        <w:rPr>
          <w:b/>
          <w:sz w:val="24"/>
          <w:szCs w:val="24"/>
        </w:rPr>
      </w:pPr>
      <w:r>
        <w:rPr>
          <w:b/>
          <w:sz w:val="24"/>
          <w:szCs w:val="24"/>
        </w:rPr>
        <w:t>Equipment</w:t>
      </w:r>
      <w:r w:rsidR="00F16EF0" w:rsidRPr="00F97817">
        <w:rPr>
          <w:b/>
          <w:sz w:val="24"/>
          <w:szCs w:val="24"/>
        </w:rPr>
        <w:t>, Facilities</w:t>
      </w:r>
    </w:p>
    <w:p w14:paraId="2B491539" w14:textId="77777777" w:rsidR="00701326" w:rsidRPr="0074176C" w:rsidRDefault="00701326" w:rsidP="00701326">
      <w:pPr>
        <w:ind w:left="720"/>
        <w:rPr>
          <w:b/>
          <w:sz w:val="24"/>
          <w:szCs w:val="24"/>
        </w:rPr>
      </w:pPr>
    </w:p>
    <w:p w14:paraId="0D3F38D9" w14:textId="600365F8" w:rsidR="00F97817" w:rsidRDefault="006D640C" w:rsidP="00BE5B7D">
      <w:pPr>
        <w:ind w:left="720"/>
        <w:jc w:val="both"/>
        <w:rPr>
          <w:sz w:val="24"/>
          <w:szCs w:val="24"/>
        </w:rPr>
      </w:pPr>
      <w:r>
        <w:rPr>
          <w:sz w:val="24"/>
          <w:szCs w:val="24"/>
        </w:rPr>
        <w:t>Existing equipment and facilities will be sufficient.  No additional equipment or facilities will be needed.</w:t>
      </w:r>
    </w:p>
    <w:p w14:paraId="7D6BD260" w14:textId="77777777" w:rsidR="00701326" w:rsidRPr="00467567" w:rsidRDefault="00701326" w:rsidP="00701326">
      <w:pPr>
        <w:jc w:val="both"/>
        <w:rPr>
          <w:sz w:val="24"/>
          <w:szCs w:val="24"/>
        </w:rPr>
      </w:pPr>
    </w:p>
    <w:p w14:paraId="0BA2FA72" w14:textId="21B7D464" w:rsidR="00F97817" w:rsidRPr="00701326" w:rsidRDefault="00F16EF0" w:rsidP="00701326">
      <w:pPr>
        <w:numPr>
          <w:ilvl w:val="0"/>
          <w:numId w:val="3"/>
        </w:numPr>
        <w:rPr>
          <w:sz w:val="24"/>
          <w:szCs w:val="24"/>
        </w:rPr>
      </w:pPr>
      <w:r w:rsidRPr="00F97817">
        <w:rPr>
          <w:b/>
          <w:sz w:val="24"/>
          <w:szCs w:val="24"/>
        </w:rPr>
        <w:t>Accreditation</w:t>
      </w:r>
    </w:p>
    <w:p w14:paraId="245BC63D" w14:textId="77777777" w:rsidR="00701326" w:rsidRPr="0074176C" w:rsidRDefault="00701326" w:rsidP="00701326">
      <w:pPr>
        <w:ind w:left="720"/>
        <w:rPr>
          <w:sz w:val="24"/>
          <w:szCs w:val="24"/>
        </w:rPr>
      </w:pPr>
    </w:p>
    <w:p w14:paraId="066E8FA8" w14:textId="7F79E1EC" w:rsidR="007857A4" w:rsidRDefault="007857A4" w:rsidP="00BE5B7D">
      <w:pPr>
        <w:ind w:left="720"/>
        <w:jc w:val="both"/>
        <w:rPr>
          <w:sz w:val="24"/>
          <w:szCs w:val="24"/>
        </w:rPr>
      </w:pPr>
      <w:r>
        <w:rPr>
          <w:sz w:val="24"/>
          <w:szCs w:val="24"/>
        </w:rPr>
        <w:t>T</w:t>
      </w:r>
      <w:r w:rsidR="00626E2D">
        <w:rPr>
          <w:sz w:val="24"/>
          <w:szCs w:val="24"/>
        </w:rPr>
        <w:t xml:space="preserve">his degree program will not seek </w:t>
      </w:r>
      <w:r>
        <w:rPr>
          <w:sz w:val="24"/>
          <w:szCs w:val="24"/>
        </w:rPr>
        <w:t xml:space="preserve">accreditation. All degree programs, however, are reviewed every seven years through Texas </w:t>
      </w:r>
      <w:proofErr w:type="gramStart"/>
      <w:r>
        <w:rPr>
          <w:sz w:val="24"/>
          <w:szCs w:val="24"/>
        </w:rPr>
        <w:t>A&amp;M’s</w:t>
      </w:r>
      <w:proofErr w:type="gramEnd"/>
      <w:r>
        <w:rPr>
          <w:sz w:val="24"/>
          <w:szCs w:val="24"/>
        </w:rPr>
        <w:t xml:space="preserve"> academic program review process.</w:t>
      </w:r>
    </w:p>
    <w:p w14:paraId="5A89C1E6" w14:textId="26688E92" w:rsidR="00F97817" w:rsidRPr="00467567" w:rsidRDefault="00F97817" w:rsidP="00701326">
      <w:pPr>
        <w:jc w:val="both"/>
        <w:rPr>
          <w:sz w:val="24"/>
          <w:szCs w:val="24"/>
        </w:rPr>
      </w:pPr>
    </w:p>
    <w:p w14:paraId="5D2732D2" w14:textId="698A70C0" w:rsidR="00E506A3" w:rsidRDefault="00F16EF0" w:rsidP="00F97817">
      <w:pPr>
        <w:numPr>
          <w:ilvl w:val="0"/>
          <w:numId w:val="1"/>
        </w:numPr>
        <w:ind w:left="360" w:hanging="360"/>
        <w:rPr>
          <w:b/>
          <w:sz w:val="24"/>
          <w:szCs w:val="24"/>
        </w:rPr>
      </w:pPr>
      <w:r w:rsidRPr="00F97817">
        <w:rPr>
          <w:b/>
          <w:sz w:val="24"/>
          <w:szCs w:val="24"/>
        </w:rPr>
        <w:t xml:space="preserve"> NEW 5</w:t>
      </w:r>
      <w:r w:rsidR="00617AE2">
        <w:rPr>
          <w:b/>
          <w:sz w:val="24"/>
          <w:szCs w:val="24"/>
        </w:rPr>
        <w:t>-</w:t>
      </w:r>
      <w:r w:rsidRPr="00F97817">
        <w:rPr>
          <w:b/>
          <w:sz w:val="24"/>
          <w:szCs w:val="24"/>
        </w:rPr>
        <w:t>YEAR COSTS &amp; FUNDING SOURCES</w:t>
      </w:r>
    </w:p>
    <w:p w14:paraId="37EDD3B0" w14:textId="0E22673F" w:rsidR="00773237" w:rsidRDefault="00773237" w:rsidP="00701326">
      <w:pPr>
        <w:rPr>
          <w:b/>
          <w:sz w:val="24"/>
          <w:szCs w:val="24"/>
        </w:rPr>
      </w:pP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785"/>
        <w:gridCol w:w="1609"/>
        <w:gridCol w:w="8"/>
        <w:gridCol w:w="650"/>
        <w:gridCol w:w="8"/>
        <w:gridCol w:w="3159"/>
        <w:gridCol w:w="1317"/>
        <w:gridCol w:w="8"/>
      </w:tblGrid>
      <w:tr w:rsidR="00701326" w:rsidRPr="00F97817" w14:paraId="0101AACE" w14:textId="77777777" w:rsidTr="00701326">
        <w:trPr>
          <w:trHeight w:val="487"/>
        </w:trPr>
        <w:tc>
          <w:tcPr>
            <w:tcW w:w="4402" w:type="dxa"/>
            <w:gridSpan w:val="3"/>
            <w:tcMar>
              <w:top w:w="43" w:type="dxa"/>
              <w:bottom w:w="43" w:type="dxa"/>
            </w:tcMar>
            <w:vAlign w:val="center"/>
          </w:tcPr>
          <w:p w14:paraId="70C3A70C" w14:textId="77777777" w:rsidR="00773237" w:rsidRPr="00DB3F4B" w:rsidRDefault="00773237" w:rsidP="00E02F8A">
            <w:pPr>
              <w:jc w:val="center"/>
              <w:rPr>
                <w:b/>
                <w:sz w:val="24"/>
                <w:szCs w:val="24"/>
              </w:rPr>
            </w:pPr>
            <w:r w:rsidRPr="00DB3F4B">
              <w:rPr>
                <w:b/>
                <w:sz w:val="24"/>
                <w:szCs w:val="24"/>
              </w:rPr>
              <w:t>NEW FIVE-YEAR COSTS</w:t>
            </w:r>
          </w:p>
        </w:tc>
        <w:tc>
          <w:tcPr>
            <w:tcW w:w="658" w:type="dxa"/>
            <w:gridSpan w:val="2"/>
            <w:vAlign w:val="center"/>
          </w:tcPr>
          <w:p w14:paraId="1CEC6DF9" w14:textId="77777777" w:rsidR="00773237" w:rsidRPr="00DB3F4B" w:rsidRDefault="00773237" w:rsidP="00E02F8A">
            <w:pPr>
              <w:jc w:val="center"/>
              <w:rPr>
                <w:sz w:val="24"/>
                <w:szCs w:val="24"/>
              </w:rPr>
            </w:pPr>
          </w:p>
        </w:tc>
        <w:tc>
          <w:tcPr>
            <w:tcW w:w="4484" w:type="dxa"/>
            <w:gridSpan w:val="3"/>
            <w:vAlign w:val="center"/>
          </w:tcPr>
          <w:p w14:paraId="3543B19D" w14:textId="77777777" w:rsidR="00773237" w:rsidRPr="00DB3F4B" w:rsidRDefault="00773237" w:rsidP="00E02F8A">
            <w:pPr>
              <w:jc w:val="center"/>
              <w:rPr>
                <w:b/>
                <w:sz w:val="24"/>
                <w:szCs w:val="24"/>
              </w:rPr>
            </w:pPr>
            <w:r w:rsidRPr="00DB3F4B">
              <w:rPr>
                <w:b/>
                <w:sz w:val="24"/>
                <w:szCs w:val="24"/>
              </w:rPr>
              <w:t>SOURCES OF FUNDING</w:t>
            </w:r>
          </w:p>
        </w:tc>
      </w:tr>
      <w:tr w:rsidR="00773237" w:rsidRPr="00F97817" w14:paraId="39EF0BAF" w14:textId="77777777" w:rsidTr="00701326">
        <w:trPr>
          <w:gridAfter w:val="1"/>
          <w:wAfter w:w="8" w:type="dxa"/>
          <w:trHeight w:val="286"/>
        </w:trPr>
        <w:tc>
          <w:tcPr>
            <w:tcW w:w="2785" w:type="dxa"/>
            <w:tcBorders>
              <w:bottom w:val="single" w:sz="4" w:space="0" w:color="auto"/>
            </w:tcBorders>
            <w:vAlign w:val="center"/>
          </w:tcPr>
          <w:p w14:paraId="3802615A" w14:textId="77777777" w:rsidR="00773237" w:rsidRPr="00DB3F4B" w:rsidRDefault="00773237" w:rsidP="00E02F8A">
            <w:pPr>
              <w:rPr>
                <w:sz w:val="24"/>
                <w:szCs w:val="24"/>
              </w:rPr>
            </w:pPr>
            <w:r w:rsidRPr="00DB3F4B">
              <w:rPr>
                <w:sz w:val="24"/>
                <w:szCs w:val="24"/>
              </w:rPr>
              <w:t>Faculty</w:t>
            </w:r>
          </w:p>
        </w:tc>
        <w:tc>
          <w:tcPr>
            <w:tcW w:w="1609" w:type="dxa"/>
            <w:tcBorders>
              <w:bottom w:val="single" w:sz="4" w:space="0" w:color="auto"/>
            </w:tcBorders>
            <w:vAlign w:val="center"/>
          </w:tcPr>
          <w:p w14:paraId="4E5D7C3B" w14:textId="77777777" w:rsidR="00773237" w:rsidRPr="00DB3F4B" w:rsidRDefault="00773237" w:rsidP="00E02F8A">
            <w:pPr>
              <w:jc w:val="right"/>
              <w:rPr>
                <w:sz w:val="24"/>
                <w:szCs w:val="24"/>
              </w:rPr>
            </w:pPr>
            <w:r w:rsidRPr="00F97817">
              <w:rPr>
                <w:sz w:val="24"/>
                <w:szCs w:val="24"/>
              </w:rPr>
              <w:t>$</w:t>
            </w:r>
            <w:r>
              <w:rPr>
                <w:sz w:val="24"/>
                <w:szCs w:val="24"/>
              </w:rPr>
              <w:t>1,185,988</w:t>
            </w:r>
            <w:r w:rsidRPr="00F97817">
              <w:rPr>
                <w:sz w:val="24"/>
                <w:szCs w:val="24"/>
              </w:rPr>
              <w:t xml:space="preserve"> </w:t>
            </w:r>
          </w:p>
        </w:tc>
        <w:tc>
          <w:tcPr>
            <w:tcW w:w="658" w:type="dxa"/>
            <w:gridSpan w:val="2"/>
            <w:vMerge w:val="restart"/>
            <w:vAlign w:val="center"/>
          </w:tcPr>
          <w:p w14:paraId="7373D41F" w14:textId="77777777" w:rsidR="00773237" w:rsidRPr="00DB3F4B" w:rsidRDefault="00773237" w:rsidP="00E02F8A">
            <w:pPr>
              <w:rPr>
                <w:sz w:val="24"/>
                <w:szCs w:val="24"/>
              </w:rPr>
            </w:pPr>
          </w:p>
        </w:tc>
        <w:tc>
          <w:tcPr>
            <w:tcW w:w="3150" w:type="dxa"/>
            <w:gridSpan w:val="2"/>
            <w:tcBorders>
              <w:bottom w:val="single" w:sz="4" w:space="0" w:color="auto"/>
            </w:tcBorders>
            <w:vAlign w:val="center"/>
          </w:tcPr>
          <w:p w14:paraId="3D9DB0A8" w14:textId="77777777" w:rsidR="00773237" w:rsidRPr="00DB3F4B" w:rsidRDefault="00773237" w:rsidP="00E02F8A">
            <w:pPr>
              <w:rPr>
                <w:sz w:val="24"/>
                <w:szCs w:val="24"/>
              </w:rPr>
            </w:pPr>
            <w:r w:rsidRPr="00DB3F4B">
              <w:rPr>
                <w:sz w:val="24"/>
                <w:szCs w:val="24"/>
              </w:rPr>
              <w:t>Formula Income</w:t>
            </w:r>
          </w:p>
        </w:tc>
        <w:tc>
          <w:tcPr>
            <w:tcW w:w="0" w:type="auto"/>
            <w:tcBorders>
              <w:bottom w:val="single" w:sz="4" w:space="0" w:color="auto"/>
            </w:tcBorders>
            <w:vAlign w:val="center"/>
          </w:tcPr>
          <w:p w14:paraId="658EFF8F" w14:textId="77777777" w:rsidR="00773237" w:rsidRPr="00F97817" w:rsidRDefault="00773237" w:rsidP="00E02F8A">
            <w:pPr>
              <w:jc w:val="right"/>
              <w:rPr>
                <w:sz w:val="24"/>
                <w:szCs w:val="24"/>
              </w:rPr>
            </w:pPr>
            <w:r w:rsidRPr="00F97817">
              <w:rPr>
                <w:sz w:val="24"/>
                <w:szCs w:val="24"/>
              </w:rPr>
              <w:t>$</w:t>
            </w:r>
            <w:r>
              <w:rPr>
                <w:sz w:val="24"/>
                <w:szCs w:val="24"/>
              </w:rPr>
              <w:t>564,905</w:t>
            </w:r>
            <w:r w:rsidRPr="00F97817">
              <w:rPr>
                <w:sz w:val="24"/>
                <w:szCs w:val="24"/>
              </w:rPr>
              <w:t xml:space="preserve"> </w:t>
            </w:r>
          </w:p>
        </w:tc>
      </w:tr>
      <w:tr w:rsidR="00773237" w:rsidRPr="00F97817" w14:paraId="64BA03AB" w14:textId="77777777" w:rsidTr="00701326">
        <w:trPr>
          <w:gridAfter w:val="1"/>
          <w:wAfter w:w="8" w:type="dxa"/>
        </w:trPr>
        <w:tc>
          <w:tcPr>
            <w:tcW w:w="2785" w:type="dxa"/>
            <w:tcBorders>
              <w:bottom w:val="single" w:sz="4" w:space="0" w:color="auto"/>
            </w:tcBorders>
            <w:vAlign w:val="center"/>
          </w:tcPr>
          <w:p w14:paraId="22A00048" w14:textId="77777777" w:rsidR="00773237" w:rsidRPr="00DB3F4B" w:rsidRDefault="00773237" w:rsidP="00E02F8A">
            <w:pPr>
              <w:rPr>
                <w:sz w:val="24"/>
                <w:szCs w:val="24"/>
              </w:rPr>
            </w:pPr>
            <w:r w:rsidRPr="00DB3F4B">
              <w:rPr>
                <w:sz w:val="24"/>
                <w:szCs w:val="24"/>
              </w:rPr>
              <w:t>Program Administration</w:t>
            </w:r>
          </w:p>
        </w:tc>
        <w:tc>
          <w:tcPr>
            <w:tcW w:w="1609" w:type="dxa"/>
            <w:tcBorders>
              <w:bottom w:val="single" w:sz="4" w:space="0" w:color="auto"/>
            </w:tcBorders>
            <w:vAlign w:val="center"/>
          </w:tcPr>
          <w:p w14:paraId="6F379D79" w14:textId="69DD84CF" w:rsidR="00773237" w:rsidRPr="00F97817" w:rsidRDefault="00773237" w:rsidP="001B34B0">
            <w:pPr>
              <w:jc w:val="right"/>
              <w:rPr>
                <w:sz w:val="24"/>
                <w:szCs w:val="24"/>
              </w:rPr>
            </w:pPr>
            <w:r w:rsidRPr="00F97817">
              <w:rPr>
                <w:sz w:val="24"/>
                <w:szCs w:val="24"/>
              </w:rPr>
              <w:t>$</w:t>
            </w:r>
            <w:r w:rsidR="001B34B0">
              <w:rPr>
                <w:sz w:val="24"/>
                <w:szCs w:val="24"/>
              </w:rPr>
              <w:t>160,062</w:t>
            </w:r>
          </w:p>
        </w:tc>
        <w:tc>
          <w:tcPr>
            <w:tcW w:w="658" w:type="dxa"/>
            <w:gridSpan w:val="2"/>
            <w:vMerge/>
            <w:vAlign w:val="center"/>
          </w:tcPr>
          <w:p w14:paraId="43A12A8F" w14:textId="77777777" w:rsidR="00773237" w:rsidRPr="00DB3F4B" w:rsidRDefault="00773237" w:rsidP="00E02F8A">
            <w:pPr>
              <w:rPr>
                <w:sz w:val="24"/>
                <w:szCs w:val="24"/>
              </w:rPr>
            </w:pPr>
          </w:p>
        </w:tc>
        <w:tc>
          <w:tcPr>
            <w:tcW w:w="3150" w:type="dxa"/>
            <w:gridSpan w:val="2"/>
            <w:tcBorders>
              <w:bottom w:val="single" w:sz="4" w:space="0" w:color="auto"/>
            </w:tcBorders>
            <w:vAlign w:val="center"/>
          </w:tcPr>
          <w:p w14:paraId="18EA96AE" w14:textId="77777777" w:rsidR="00773237" w:rsidRPr="00DB3F4B" w:rsidRDefault="00773237" w:rsidP="00E02F8A">
            <w:pPr>
              <w:rPr>
                <w:sz w:val="24"/>
                <w:szCs w:val="24"/>
              </w:rPr>
            </w:pPr>
            <w:r w:rsidRPr="00DB3F4B">
              <w:rPr>
                <w:sz w:val="24"/>
                <w:szCs w:val="24"/>
              </w:rPr>
              <w:t>Statutory Tuition</w:t>
            </w:r>
          </w:p>
        </w:tc>
        <w:tc>
          <w:tcPr>
            <w:tcW w:w="0" w:type="auto"/>
            <w:tcBorders>
              <w:bottom w:val="single" w:sz="4" w:space="0" w:color="auto"/>
            </w:tcBorders>
            <w:vAlign w:val="center"/>
          </w:tcPr>
          <w:p w14:paraId="7AA345CF" w14:textId="77777777" w:rsidR="00773237" w:rsidRPr="00F97817" w:rsidRDefault="00773237" w:rsidP="00E02F8A">
            <w:pPr>
              <w:jc w:val="right"/>
              <w:rPr>
                <w:sz w:val="24"/>
                <w:szCs w:val="24"/>
              </w:rPr>
            </w:pPr>
            <w:r w:rsidRPr="00F97817">
              <w:rPr>
                <w:sz w:val="24"/>
                <w:szCs w:val="24"/>
              </w:rPr>
              <w:t>$266,500</w:t>
            </w:r>
          </w:p>
        </w:tc>
      </w:tr>
      <w:tr w:rsidR="00773237" w:rsidRPr="00F97817" w14:paraId="01D884AD" w14:textId="77777777" w:rsidTr="00701326">
        <w:trPr>
          <w:gridAfter w:val="1"/>
          <w:wAfter w:w="8" w:type="dxa"/>
        </w:trPr>
        <w:tc>
          <w:tcPr>
            <w:tcW w:w="2785" w:type="dxa"/>
            <w:tcBorders>
              <w:top w:val="single" w:sz="4" w:space="0" w:color="auto"/>
              <w:bottom w:val="single" w:sz="4" w:space="0" w:color="auto"/>
            </w:tcBorders>
            <w:vAlign w:val="center"/>
          </w:tcPr>
          <w:p w14:paraId="4F2B9F7F" w14:textId="77777777" w:rsidR="00773237" w:rsidRPr="00DB3F4B" w:rsidRDefault="00773237" w:rsidP="00E02F8A">
            <w:pPr>
              <w:rPr>
                <w:sz w:val="24"/>
                <w:szCs w:val="24"/>
              </w:rPr>
            </w:pPr>
            <w:r w:rsidRPr="00DB3F4B">
              <w:rPr>
                <w:sz w:val="24"/>
                <w:szCs w:val="24"/>
              </w:rPr>
              <w:t>Graduate Assistants</w:t>
            </w:r>
          </w:p>
        </w:tc>
        <w:tc>
          <w:tcPr>
            <w:tcW w:w="1609" w:type="dxa"/>
            <w:tcBorders>
              <w:top w:val="single" w:sz="4" w:space="0" w:color="auto"/>
              <w:bottom w:val="single" w:sz="4" w:space="0" w:color="auto"/>
            </w:tcBorders>
            <w:shd w:val="clear" w:color="auto" w:fill="auto"/>
            <w:vAlign w:val="center"/>
          </w:tcPr>
          <w:p w14:paraId="5792A5F3" w14:textId="77777777" w:rsidR="00773237" w:rsidRPr="00F97817" w:rsidRDefault="00773237" w:rsidP="00E02F8A">
            <w:pPr>
              <w:jc w:val="right"/>
              <w:rPr>
                <w:sz w:val="24"/>
                <w:szCs w:val="24"/>
              </w:rPr>
            </w:pPr>
            <w:r w:rsidRPr="00F97817">
              <w:rPr>
                <w:sz w:val="24"/>
                <w:szCs w:val="24"/>
              </w:rPr>
              <w:t>$</w:t>
            </w:r>
            <w:r>
              <w:rPr>
                <w:sz w:val="24"/>
                <w:szCs w:val="24"/>
              </w:rPr>
              <w:t>316,484</w:t>
            </w:r>
          </w:p>
        </w:tc>
        <w:tc>
          <w:tcPr>
            <w:tcW w:w="658" w:type="dxa"/>
            <w:gridSpan w:val="2"/>
            <w:vMerge/>
            <w:tcBorders>
              <w:top w:val="single" w:sz="4" w:space="0" w:color="auto"/>
            </w:tcBorders>
            <w:vAlign w:val="center"/>
          </w:tcPr>
          <w:p w14:paraId="2FF53AD0" w14:textId="77777777" w:rsidR="00773237" w:rsidRPr="00DB3F4B" w:rsidRDefault="00773237" w:rsidP="00E02F8A">
            <w:pPr>
              <w:rPr>
                <w:sz w:val="24"/>
                <w:szCs w:val="24"/>
              </w:rPr>
            </w:pPr>
          </w:p>
        </w:tc>
        <w:tc>
          <w:tcPr>
            <w:tcW w:w="3150" w:type="dxa"/>
            <w:gridSpan w:val="2"/>
            <w:tcBorders>
              <w:top w:val="single" w:sz="4" w:space="0" w:color="auto"/>
              <w:bottom w:val="single" w:sz="4" w:space="0" w:color="auto"/>
            </w:tcBorders>
            <w:shd w:val="clear" w:color="auto" w:fill="auto"/>
            <w:vAlign w:val="center"/>
          </w:tcPr>
          <w:p w14:paraId="6DDE07BD" w14:textId="77777777" w:rsidR="00773237" w:rsidRPr="00DB3F4B" w:rsidRDefault="00773237" w:rsidP="00E02F8A">
            <w:pPr>
              <w:rPr>
                <w:sz w:val="24"/>
                <w:szCs w:val="24"/>
              </w:rPr>
            </w:pPr>
            <w:r w:rsidRPr="00DB3F4B">
              <w:rPr>
                <w:sz w:val="24"/>
                <w:szCs w:val="24"/>
              </w:rPr>
              <w:t>Reallocation</w:t>
            </w:r>
          </w:p>
        </w:tc>
        <w:tc>
          <w:tcPr>
            <w:tcW w:w="0" w:type="auto"/>
            <w:tcBorders>
              <w:top w:val="single" w:sz="4" w:space="0" w:color="auto"/>
              <w:bottom w:val="single" w:sz="4" w:space="0" w:color="auto"/>
            </w:tcBorders>
            <w:shd w:val="clear" w:color="auto" w:fill="auto"/>
            <w:vAlign w:val="center"/>
          </w:tcPr>
          <w:p w14:paraId="79DBD71E" w14:textId="77777777" w:rsidR="00773237" w:rsidRPr="00F97817" w:rsidRDefault="00773237" w:rsidP="00E02F8A">
            <w:pPr>
              <w:jc w:val="right"/>
              <w:rPr>
                <w:sz w:val="24"/>
                <w:szCs w:val="24"/>
              </w:rPr>
            </w:pPr>
            <w:r w:rsidRPr="00F97817">
              <w:rPr>
                <w:sz w:val="24"/>
                <w:szCs w:val="24"/>
              </w:rPr>
              <w:t>$</w:t>
            </w:r>
            <w:r>
              <w:rPr>
                <w:sz w:val="24"/>
                <w:szCs w:val="24"/>
              </w:rPr>
              <w:t>0</w:t>
            </w:r>
          </w:p>
        </w:tc>
      </w:tr>
      <w:tr w:rsidR="00773237" w:rsidRPr="00F97817" w14:paraId="36F9CD8C" w14:textId="77777777" w:rsidTr="00701326">
        <w:trPr>
          <w:gridAfter w:val="1"/>
          <w:wAfter w:w="8" w:type="dxa"/>
        </w:trPr>
        <w:tc>
          <w:tcPr>
            <w:tcW w:w="2785" w:type="dxa"/>
            <w:tcBorders>
              <w:top w:val="single" w:sz="4" w:space="0" w:color="auto"/>
              <w:bottom w:val="single" w:sz="4" w:space="0" w:color="auto"/>
            </w:tcBorders>
            <w:vAlign w:val="center"/>
          </w:tcPr>
          <w:p w14:paraId="6A668E2D" w14:textId="77777777" w:rsidR="00773237" w:rsidRPr="00DB3F4B" w:rsidRDefault="00773237" w:rsidP="00E02F8A">
            <w:pPr>
              <w:rPr>
                <w:sz w:val="24"/>
                <w:szCs w:val="24"/>
              </w:rPr>
            </w:pPr>
            <w:r w:rsidRPr="00DB3F4B">
              <w:rPr>
                <w:sz w:val="24"/>
                <w:szCs w:val="24"/>
              </w:rPr>
              <w:t>Supplies &amp; Materials</w:t>
            </w:r>
          </w:p>
        </w:tc>
        <w:tc>
          <w:tcPr>
            <w:tcW w:w="1609" w:type="dxa"/>
            <w:tcBorders>
              <w:top w:val="single" w:sz="4" w:space="0" w:color="auto"/>
              <w:bottom w:val="single" w:sz="4" w:space="0" w:color="auto"/>
            </w:tcBorders>
            <w:shd w:val="clear" w:color="auto" w:fill="auto"/>
            <w:vAlign w:val="center"/>
          </w:tcPr>
          <w:p w14:paraId="7B69506E" w14:textId="77777777" w:rsidR="00773237" w:rsidRPr="00F97817" w:rsidRDefault="00773237" w:rsidP="00E02F8A">
            <w:pPr>
              <w:jc w:val="right"/>
              <w:rPr>
                <w:sz w:val="24"/>
                <w:szCs w:val="24"/>
              </w:rPr>
            </w:pPr>
            <w:r w:rsidRPr="00F97817">
              <w:rPr>
                <w:sz w:val="24"/>
                <w:szCs w:val="24"/>
              </w:rPr>
              <w:t>$</w:t>
            </w:r>
            <w:r>
              <w:rPr>
                <w:sz w:val="24"/>
                <w:szCs w:val="24"/>
              </w:rPr>
              <w:t>6</w:t>
            </w:r>
            <w:r w:rsidRPr="00F97817">
              <w:rPr>
                <w:sz w:val="24"/>
                <w:szCs w:val="24"/>
              </w:rPr>
              <w:t>0</w:t>
            </w:r>
            <w:r>
              <w:rPr>
                <w:sz w:val="24"/>
                <w:szCs w:val="24"/>
              </w:rPr>
              <w:t>,000</w:t>
            </w:r>
          </w:p>
        </w:tc>
        <w:tc>
          <w:tcPr>
            <w:tcW w:w="658" w:type="dxa"/>
            <w:gridSpan w:val="2"/>
            <w:vMerge/>
            <w:vAlign w:val="center"/>
          </w:tcPr>
          <w:p w14:paraId="123F7503" w14:textId="77777777" w:rsidR="00773237" w:rsidRPr="00DB3F4B" w:rsidRDefault="00773237" w:rsidP="00E02F8A">
            <w:pPr>
              <w:rPr>
                <w:sz w:val="24"/>
                <w:szCs w:val="24"/>
              </w:rPr>
            </w:pPr>
          </w:p>
        </w:tc>
        <w:tc>
          <w:tcPr>
            <w:tcW w:w="3150" w:type="dxa"/>
            <w:gridSpan w:val="2"/>
            <w:tcBorders>
              <w:bottom w:val="single" w:sz="4" w:space="0" w:color="auto"/>
            </w:tcBorders>
            <w:shd w:val="clear" w:color="auto" w:fill="auto"/>
            <w:vAlign w:val="center"/>
          </w:tcPr>
          <w:p w14:paraId="2778C10B" w14:textId="77777777" w:rsidR="00773237" w:rsidRPr="00DB3F4B" w:rsidRDefault="00773237" w:rsidP="00E02F8A">
            <w:pPr>
              <w:rPr>
                <w:sz w:val="24"/>
                <w:szCs w:val="24"/>
              </w:rPr>
            </w:pPr>
            <w:r w:rsidRPr="00DB3F4B">
              <w:rPr>
                <w:sz w:val="24"/>
                <w:szCs w:val="24"/>
              </w:rPr>
              <w:t>Designated Tuition</w:t>
            </w:r>
          </w:p>
        </w:tc>
        <w:tc>
          <w:tcPr>
            <w:tcW w:w="0" w:type="auto"/>
            <w:tcBorders>
              <w:bottom w:val="single" w:sz="4" w:space="0" w:color="auto"/>
            </w:tcBorders>
            <w:shd w:val="clear" w:color="auto" w:fill="auto"/>
            <w:vAlign w:val="center"/>
          </w:tcPr>
          <w:p w14:paraId="5E928B60" w14:textId="77777777" w:rsidR="00773237" w:rsidRPr="00F97817" w:rsidRDefault="00773237" w:rsidP="00E02F8A">
            <w:pPr>
              <w:jc w:val="right"/>
              <w:rPr>
                <w:sz w:val="24"/>
                <w:szCs w:val="24"/>
              </w:rPr>
            </w:pPr>
            <w:r w:rsidRPr="00F97817">
              <w:rPr>
                <w:sz w:val="24"/>
                <w:szCs w:val="24"/>
              </w:rPr>
              <w:t>$1,287,136</w:t>
            </w:r>
          </w:p>
        </w:tc>
      </w:tr>
      <w:tr w:rsidR="00773237" w:rsidRPr="00F97817" w14:paraId="3A18B1E1" w14:textId="77777777" w:rsidTr="00701326">
        <w:trPr>
          <w:gridAfter w:val="1"/>
          <w:wAfter w:w="8" w:type="dxa"/>
        </w:trPr>
        <w:tc>
          <w:tcPr>
            <w:tcW w:w="2785" w:type="dxa"/>
            <w:tcBorders>
              <w:top w:val="single" w:sz="4" w:space="0" w:color="auto"/>
              <w:bottom w:val="single" w:sz="4" w:space="0" w:color="auto"/>
            </w:tcBorders>
            <w:vAlign w:val="center"/>
          </w:tcPr>
          <w:p w14:paraId="284F4E60" w14:textId="77777777" w:rsidR="00773237" w:rsidRPr="00DB3F4B" w:rsidRDefault="00773237" w:rsidP="00E02F8A">
            <w:pPr>
              <w:rPr>
                <w:sz w:val="24"/>
                <w:szCs w:val="24"/>
              </w:rPr>
            </w:pPr>
            <w:r w:rsidRPr="00DB3F4B">
              <w:rPr>
                <w:sz w:val="24"/>
                <w:szCs w:val="24"/>
              </w:rPr>
              <w:t>Library &amp; IT Resources</w:t>
            </w:r>
          </w:p>
        </w:tc>
        <w:tc>
          <w:tcPr>
            <w:tcW w:w="1609" w:type="dxa"/>
            <w:tcBorders>
              <w:top w:val="single" w:sz="4" w:space="0" w:color="auto"/>
              <w:bottom w:val="single" w:sz="4" w:space="0" w:color="auto"/>
            </w:tcBorders>
            <w:vAlign w:val="center"/>
          </w:tcPr>
          <w:p w14:paraId="057E7C8A" w14:textId="77777777" w:rsidR="00773237" w:rsidRPr="00F97817" w:rsidRDefault="00773237" w:rsidP="00E02F8A">
            <w:pPr>
              <w:jc w:val="right"/>
              <w:rPr>
                <w:sz w:val="24"/>
                <w:szCs w:val="24"/>
              </w:rPr>
            </w:pPr>
            <w:r w:rsidRPr="00F97817">
              <w:rPr>
                <w:sz w:val="24"/>
                <w:szCs w:val="24"/>
              </w:rPr>
              <w:t>$0</w:t>
            </w:r>
          </w:p>
        </w:tc>
        <w:tc>
          <w:tcPr>
            <w:tcW w:w="658" w:type="dxa"/>
            <w:gridSpan w:val="2"/>
            <w:vMerge/>
            <w:vAlign w:val="center"/>
          </w:tcPr>
          <w:p w14:paraId="607C6E6E" w14:textId="77777777" w:rsidR="00773237" w:rsidRPr="00DB3F4B" w:rsidRDefault="00773237" w:rsidP="00E02F8A">
            <w:pPr>
              <w:rPr>
                <w:sz w:val="24"/>
                <w:szCs w:val="24"/>
              </w:rPr>
            </w:pPr>
          </w:p>
        </w:tc>
        <w:tc>
          <w:tcPr>
            <w:tcW w:w="3150" w:type="dxa"/>
            <w:gridSpan w:val="2"/>
            <w:tcBorders>
              <w:top w:val="single" w:sz="4" w:space="0" w:color="auto"/>
              <w:bottom w:val="single" w:sz="4" w:space="0" w:color="auto"/>
            </w:tcBorders>
            <w:vAlign w:val="center"/>
          </w:tcPr>
          <w:p w14:paraId="20A569EC" w14:textId="77777777" w:rsidR="00773237" w:rsidRPr="00DB3F4B" w:rsidRDefault="00773237" w:rsidP="00E02F8A">
            <w:pPr>
              <w:rPr>
                <w:sz w:val="24"/>
                <w:szCs w:val="24"/>
              </w:rPr>
            </w:pPr>
            <w:r w:rsidRPr="00DB3F4B">
              <w:rPr>
                <w:sz w:val="24"/>
                <w:szCs w:val="24"/>
              </w:rPr>
              <w:t>Other Funding:</w:t>
            </w:r>
          </w:p>
        </w:tc>
        <w:tc>
          <w:tcPr>
            <w:tcW w:w="0" w:type="auto"/>
            <w:tcBorders>
              <w:top w:val="single" w:sz="4" w:space="0" w:color="auto"/>
              <w:bottom w:val="single" w:sz="4" w:space="0" w:color="auto"/>
            </w:tcBorders>
            <w:vAlign w:val="center"/>
          </w:tcPr>
          <w:p w14:paraId="04DD5529" w14:textId="179083F0" w:rsidR="00773237" w:rsidRPr="00F97817" w:rsidRDefault="00773237" w:rsidP="00E02F8A">
            <w:pPr>
              <w:jc w:val="right"/>
              <w:rPr>
                <w:sz w:val="24"/>
                <w:szCs w:val="24"/>
              </w:rPr>
            </w:pPr>
          </w:p>
        </w:tc>
      </w:tr>
      <w:tr w:rsidR="00773237" w:rsidRPr="00F97817" w14:paraId="5D1A4313" w14:textId="77777777" w:rsidTr="00701326">
        <w:trPr>
          <w:gridAfter w:val="1"/>
          <w:wAfter w:w="8" w:type="dxa"/>
        </w:trPr>
        <w:tc>
          <w:tcPr>
            <w:tcW w:w="2785" w:type="dxa"/>
            <w:tcBorders>
              <w:top w:val="single" w:sz="4" w:space="0" w:color="auto"/>
              <w:bottom w:val="single" w:sz="4" w:space="0" w:color="auto"/>
            </w:tcBorders>
            <w:vAlign w:val="center"/>
          </w:tcPr>
          <w:p w14:paraId="606CD01D" w14:textId="77777777" w:rsidR="00773237" w:rsidRPr="00DB3F4B" w:rsidRDefault="00773237" w:rsidP="00E02F8A">
            <w:pPr>
              <w:rPr>
                <w:sz w:val="24"/>
                <w:szCs w:val="24"/>
              </w:rPr>
            </w:pPr>
            <w:r w:rsidRPr="00DB3F4B">
              <w:rPr>
                <w:sz w:val="24"/>
                <w:szCs w:val="24"/>
              </w:rPr>
              <w:t>Equipment, Facilities</w:t>
            </w:r>
          </w:p>
        </w:tc>
        <w:tc>
          <w:tcPr>
            <w:tcW w:w="1609" w:type="dxa"/>
            <w:tcBorders>
              <w:top w:val="single" w:sz="4" w:space="0" w:color="auto"/>
              <w:bottom w:val="single" w:sz="4" w:space="0" w:color="auto"/>
            </w:tcBorders>
            <w:vAlign w:val="center"/>
          </w:tcPr>
          <w:p w14:paraId="4978DE66" w14:textId="77777777" w:rsidR="00773237" w:rsidRPr="00F97817" w:rsidRDefault="00773237" w:rsidP="00E02F8A">
            <w:pPr>
              <w:jc w:val="right"/>
              <w:rPr>
                <w:sz w:val="24"/>
                <w:szCs w:val="24"/>
              </w:rPr>
            </w:pPr>
            <w:r w:rsidRPr="00F97817">
              <w:rPr>
                <w:sz w:val="24"/>
                <w:szCs w:val="24"/>
              </w:rPr>
              <w:t>$0</w:t>
            </w:r>
          </w:p>
        </w:tc>
        <w:tc>
          <w:tcPr>
            <w:tcW w:w="658" w:type="dxa"/>
            <w:gridSpan w:val="2"/>
            <w:vMerge/>
            <w:vAlign w:val="center"/>
          </w:tcPr>
          <w:p w14:paraId="3CF8BE2E" w14:textId="77777777" w:rsidR="00773237" w:rsidRPr="00DB3F4B" w:rsidRDefault="00773237" w:rsidP="00E02F8A">
            <w:pPr>
              <w:rPr>
                <w:sz w:val="24"/>
                <w:szCs w:val="24"/>
              </w:rPr>
            </w:pPr>
          </w:p>
        </w:tc>
        <w:tc>
          <w:tcPr>
            <w:tcW w:w="3150" w:type="dxa"/>
            <w:gridSpan w:val="2"/>
            <w:tcBorders>
              <w:top w:val="single" w:sz="4" w:space="0" w:color="auto"/>
              <w:bottom w:val="single" w:sz="4" w:space="0" w:color="auto"/>
            </w:tcBorders>
            <w:vAlign w:val="center"/>
          </w:tcPr>
          <w:p w14:paraId="2DA4BD5C" w14:textId="2D03FCD7" w:rsidR="00773237" w:rsidRPr="00DB3F4B" w:rsidRDefault="00701326" w:rsidP="00E02F8A">
            <w:pPr>
              <w:rPr>
                <w:sz w:val="24"/>
                <w:szCs w:val="24"/>
              </w:rPr>
            </w:pPr>
            <w:r>
              <w:rPr>
                <w:sz w:val="24"/>
                <w:szCs w:val="24"/>
              </w:rPr>
              <w:t xml:space="preserve">     Board Authorized Tuition</w:t>
            </w:r>
          </w:p>
        </w:tc>
        <w:tc>
          <w:tcPr>
            <w:tcW w:w="0" w:type="auto"/>
            <w:tcBorders>
              <w:top w:val="single" w:sz="4" w:space="0" w:color="auto"/>
              <w:bottom w:val="single" w:sz="4" w:space="0" w:color="auto"/>
            </w:tcBorders>
            <w:vAlign w:val="center"/>
          </w:tcPr>
          <w:p w14:paraId="24013350" w14:textId="77777777" w:rsidR="00773237" w:rsidRPr="00F97817" w:rsidRDefault="00773237" w:rsidP="00E02F8A">
            <w:pPr>
              <w:jc w:val="right"/>
              <w:rPr>
                <w:sz w:val="24"/>
                <w:szCs w:val="24"/>
              </w:rPr>
            </w:pPr>
            <w:r w:rsidRPr="00F97817">
              <w:rPr>
                <w:sz w:val="24"/>
                <w:szCs w:val="24"/>
              </w:rPr>
              <w:t>$266,500</w:t>
            </w:r>
          </w:p>
        </w:tc>
      </w:tr>
      <w:tr w:rsidR="00773237" w:rsidRPr="00F97817" w14:paraId="6DB02C82" w14:textId="77777777" w:rsidTr="00701326">
        <w:trPr>
          <w:gridAfter w:val="1"/>
          <w:wAfter w:w="8" w:type="dxa"/>
        </w:trPr>
        <w:tc>
          <w:tcPr>
            <w:tcW w:w="2785" w:type="dxa"/>
            <w:tcBorders>
              <w:top w:val="single" w:sz="4" w:space="0" w:color="auto"/>
              <w:bottom w:val="single" w:sz="4" w:space="0" w:color="auto"/>
            </w:tcBorders>
            <w:vAlign w:val="center"/>
          </w:tcPr>
          <w:p w14:paraId="538C26E3" w14:textId="77777777" w:rsidR="00773237" w:rsidRPr="00DB3F4B" w:rsidRDefault="00773237" w:rsidP="00E02F8A">
            <w:pPr>
              <w:rPr>
                <w:sz w:val="24"/>
                <w:szCs w:val="24"/>
              </w:rPr>
            </w:pPr>
          </w:p>
        </w:tc>
        <w:tc>
          <w:tcPr>
            <w:tcW w:w="1609" w:type="dxa"/>
            <w:tcBorders>
              <w:top w:val="single" w:sz="4" w:space="0" w:color="auto"/>
              <w:bottom w:val="single" w:sz="4" w:space="0" w:color="auto"/>
            </w:tcBorders>
            <w:vAlign w:val="center"/>
          </w:tcPr>
          <w:p w14:paraId="42BCBD63" w14:textId="77777777" w:rsidR="00773237" w:rsidRPr="00F97817" w:rsidRDefault="00773237" w:rsidP="00E02F8A">
            <w:pPr>
              <w:jc w:val="right"/>
              <w:rPr>
                <w:sz w:val="24"/>
                <w:szCs w:val="24"/>
              </w:rPr>
            </w:pPr>
          </w:p>
        </w:tc>
        <w:tc>
          <w:tcPr>
            <w:tcW w:w="658" w:type="dxa"/>
            <w:gridSpan w:val="2"/>
            <w:vMerge/>
            <w:vAlign w:val="center"/>
          </w:tcPr>
          <w:p w14:paraId="5DBA6085" w14:textId="77777777" w:rsidR="00773237" w:rsidRPr="00DB3F4B" w:rsidRDefault="00773237" w:rsidP="00E02F8A">
            <w:pPr>
              <w:rPr>
                <w:sz w:val="24"/>
                <w:szCs w:val="24"/>
              </w:rPr>
            </w:pPr>
          </w:p>
        </w:tc>
        <w:tc>
          <w:tcPr>
            <w:tcW w:w="3150" w:type="dxa"/>
            <w:gridSpan w:val="2"/>
            <w:tcBorders>
              <w:top w:val="single" w:sz="4" w:space="0" w:color="auto"/>
              <w:bottom w:val="single" w:sz="4" w:space="0" w:color="auto"/>
            </w:tcBorders>
            <w:vAlign w:val="center"/>
          </w:tcPr>
          <w:p w14:paraId="5215BB30" w14:textId="50EF6AB0" w:rsidR="00773237" w:rsidRPr="00DB3F4B" w:rsidRDefault="00701326" w:rsidP="00E02F8A">
            <w:pPr>
              <w:rPr>
                <w:sz w:val="24"/>
                <w:szCs w:val="24"/>
              </w:rPr>
            </w:pPr>
            <w:r>
              <w:rPr>
                <w:sz w:val="24"/>
                <w:szCs w:val="24"/>
              </w:rPr>
              <w:t xml:space="preserve">     </w:t>
            </w:r>
            <w:r w:rsidR="00773237">
              <w:rPr>
                <w:sz w:val="24"/>
                <w:szCs w:val="24"/>
              </w:rPr>
              <w:t xml:space="preserve">Student </w:t>
            </w:r>
            <w:r w:rsidR="00773237" w:rsidRPr="00DB3F4B">
              <w:rPr>
                <w:sz w:val="24"/>
                <w:szCs w:val="24"/>
              </w:rPr>
              <w:t>Fees</w:t>
            </w:r>
          </w:p>
        </w:tc>
        <w:tc>
          <w:tcPr>
            <w:tcW w:w="0" w:type="auto"/>
            <w:tcBorders>
              <w:top w:val="single" w:sz="4" w:space="0" w:color="auto"/>
              <w:bottom w:val="single" w:sz="4" w:space="0" w:color="auto"/>
            </w:tcBorders>
            <w:vAlign w:val="center"/>
          </w:tcPr>
          <w:p w14:paraId="26BAF75B" w14:textId="1A25F42C" w:rsidR="00773237" w:rsidRPr="00F97817" w:rsidRDefault="00773237" w:rsidP="00EB3859">
            <w:pPr>
              <w:jc w:val="right"/>
              <w:rPr>
                <w:sz w:val="24"/>
                <w:szCs w:val="24"/>
              </w:rPr>
            </w:pPr>
            <w:r w:rsidRPr="00F97817">
              <w:rPr>
                <w:sz w:val="24"/>
                <w:szCs w:val="24"/>
              </w:rPr>
              <w:t>$</w:t>
            </w:r>
            <w:r w:rsidR="00EB3859">
              <w:rPr>
                <w:sz w:val="24"/>
                <w:szCs w:val="24"/>
              </w:rPr>
              <w:t>281,541</w:t>
            </w:r>
          </w:p>
        </w:tc>
      </w:tr>
      <w:tr w:rsidR="00773237" w:rsidRPr="00F97817" w14:paraId="5AE0F4F8" w14:textId="77777777" w:rsidTr="00701326">
        <w:trPr>
          <w:gridAfter w:val="1"/>
          <w:wAfter w:w="8" w:type="dxa"/>
        </w:trPr>
        <w:tc>
          <w:tcPr>
            <w:tcW w:w="2785" w:type="dxa"/>
            <w:tcBorders>
              <w:top w:val="single" w:sz="4" w:space="0" w:color="auto"/>
            </w:tcBorders>
            <w:vAlign w:val="center"/>
          </w:tcPr>
          <w:p w14:paraId="1AA857E3" w14:textId="77777777" w:rsidR="00773237" w:rsidRPr="00DB3F4B" w:rsidRDefault="00773237" w:rsidP="00E02F8A">
            <w:pPr>
              <w:rPr>
                <w:b/>
                <w:sz w:val="24"/>
                <w:szCs w:val="24"/>
              </w:rPr>
            </w:pPr>
            <w:r w:rsidRPr="00DB3F4B">
              <w:rPr>
                <w:b/>
                <w:sz w:val="24"/>
                <w:szCs w:val="24"/>
              </w:rPr>
              <w:t xml:space="preserve"> Estimated 5-Year Costs</w:t>
            </w:r>
          </w:p>
        </w:tc>
        <w:tc>
          <w:tcPr>
            <w:tcW w:w="1609" w:type="dxa"/>
            <w:tcBorders>
              <w:top w:val="single" w:sz="4" w:space="0" w:color="auto"/>
            </w:tcBorders>
            <w:vAlign w:val="center"/>
          </w:tcPr>
          <w:p w14:paraId="47405F3B" w14:textId="257E3585" w:rsidR="00773237" w:rsidRPr="00F97817" w:rsidRDefault="00773237" w:rsidP="001B34B0">
            <w:pPr>
              <w:jc w:val="right"/>
              <w:rPr>
                <w:sz w:val="24"/>
                <w:szCs w:val="24"/>
              </w:rPr>
            </w:pPr>
            <w:r w:rsidRPr="00F97817">
              <w:rPr>
                <w:sz w:val="24"/>
                <w:szCs w:val="24"/>
              </w:rPr>
              <w:t>$</w:t>
            </w:r>
            <w:r>
              <w:rPr>
                <w:sz w:val="24"/>
                <w:szCs w:val="24"/>
              </w:rPr>
              <w:t>1,</w:t>
            </w:r>
            <w:r w:rsidR="001B34B0">
              <w:rPr>
                <w:sz w:val="24"/>
                <w:szCs w:val="24"/>
              </w:rPr>
              <w:t>722</w:t>
            </w:r>
            <w:r>
              <w:rPr>
                <w:sz w:val="24"/>
                <w:szCs w:val="24"/>
              </w:rPr>
              <w:t>,</w:t>
            </w:r>
            <w:r w:rsidR="001B34B0">
              <w:rPr>
                <w:sz w:val="24"/>
                <w:szCs w:val="24"/>
              </w:rPr>
              <w:t>534</w:t>
            </w:r>
            <w:r w:rsidRPr="00F97817">
              <w:rPr>
                <w:sz w:val="24"/>
                <w:szCs w:val="24"/>
              </w:rPr>
              <w:t xml:space="preserve"> </w:t>
            </w:r>
          </w:p>
        </w:tc>
        <w:tc>
          <w:tcPr>
            <w:tcW w:w="658" w:type="dxa"/>
            <w:gridSpan w:val="2"/>
            <w:vMerge/>
            <w:vAlign w:val="center"/>
          </w:tcPr>
          <w:p w14:paraId="0B922404" w14:textId="77777777" w:rsidR="00773237" w:rsidRPr="00DB3F4B" w:rsidRDefault="00773237" w:rsidP="00E02F8A">
            <w:pPr>
              <w:rPr>
                <w:b/>
                <w:sz w:val="24"/>
                <w:szCs w:val="24"/>
              </w:rPr>
            </w:pPr>
          </w:p>
        </w:tc>
        <w:tc>
          <w:tcPr>
            <w:tcW w:w="3150" w:type="dxa"/>
            <w:gridSpan w:val="2"/>
            <w:tcBorders>
              <w:top w:val="single" w:sz="4" w:space="0" w:color="auto"/>
            </w:tcBorders>
            <w:vAlign w:val="center"/>
          </w:tcPr>
          <w:p w14:paraId="007C6F2B" w14:textId="77777777" w:rsidR="00773237" w:rsidRPr="00DB3F4B" w:rsidRDefault="00773237" w:rsidP="00E02F8A">
            <w:pPr>
              <w:rPr>
                <w:b/>
                <w:sz w:val="24"/>
                <w:szCs w:val="24"/>
              </w:rPr>
            </w:pPr>
            <w:r w:rsidRPr="00DB3F4B">
              <w:rPr>
                <w:b/>
                <w:sz w:val="24"/>
                <w:szCs w:val="24"/>
              </w:rPr>
              <w:t>Estimated 5-Year Revenues</w:t>
            </w:r>
          </w:p>
        </w:tc>
        <w:tc>
          <w:tcPr>
            <w:tcW w:w="0" w:type="auto"/>
            <w:tcBorders>
              <w:top w:val="single" w:sz="4" w:space="0" w:color="auto"/>
            </w:tcBorders>
            <w:vAlign w:val="center"/>
          </w:tcPr>
          <w:p w14:paraId="40C18390" w14:textId="5E4EA114" w:rsidR="00773237" w:rsidRPr="00F97817" w:rsidRDefault="00773237" w:rsidP="00EB3859">
            <w:pPr>
              <w:jc w:val="right"/>
              <w:rPr>
                <w:sz w:val="24"/>
                <w:szCs w:val="24"/>
              </w:rPr>
            </w:pPr>
            <w:r w:rsidRPr="00F97817">
              <w:rPr>
                <w:sz w:val="24"/>
                <w:szCs w:val="24"/>
              </w:rPr>
              <w:t>$</w:t>
            </w:r>
            <w:r>
              <w:rPr>
                <w:sz w:val="24"/>
                <w:szCs w:val="24"/>
              </w:rPr>
              <w:t>2,</w:t>
            </w:r>
            <w:r w:rsidR="00EB3859">
              <w:rPr>
                <w:sz w:val="24"/>
                <w:szCs w:val="24"/>
              </w:rPr>
              <w:t>666,582</w:t>
            </w:r>
            <w:r w:rsidRPr="00F97817">
              <w:rPr>
                <w:sz w:val="24"/>
                <w:szCs w:val="24"/>
              </w:rPr>
              <w:t xml:space="preserve"> </w:t>
            </w:r>
          </w:p>
        </w:tc>
      </w:tr>
    </w:tbl>
    <w:p w14:paraId="58DF9EDF" w14:textId="77777777" w:rsidR="00773237" w:rsidRDefault="00773237" w:rsidP="00781682">
      <w:pPr>
        <w:rPr>
          <w:b/>
          <w:sz w:val="24"/>
          <w:szCs w:val="24"/>
        </w:rPr>
      </w:pPr>
    </w:p>
    <w:p w14:paraId="6005F4E1" w14:textId="77777777" w:rsidR="00773237" w:rsidRDefault="00773237" w:rsidP="00781682">
      <w:pPr>
        <w:rPr>
          <w:b/>
          <w:sz w:val="24"/>
          <w:szCs w:val="24"/>
        </w:rPr>
      </w:pPr>
    </w:p>
    <w:p w14:paraId="3F666425" w14:textId="77777777" w:rsidR="00172EE7" w:rsidRPr="00467567" w:rsidRDefault="00172EE7" w:rsidP="000C6639">
      <w:pPr>
        <w:pStyle w:val="Heading2"/>
        <w:tabs>
          <w:tab w:val="right" w:pos="4032"/>
        </w:tabs>
        <w:rPr>
          <w:szCs w:val="24"/>
        </w:rPr>
      </w:pPr>
    </w:p>
    <w:sectPr w:rsidR="00172EE7" w:rsidRPr="00467567" w:rsidSect="00C236A8">
      <w:headerReference w:type="even" r:id="rId8"/>
      <w:headerReference w:type="default" r:id="rId9"/>
      <w:footerReference w:type="even" r:id="rId10"/>
      <w:footerReference w:type="default" r:id="rId11"/>
      <w:headerReference w:type="first" r:id="rId12"/>
      <w:footerReference w:type="first" r:id="rId13"/>
      <w:pgSz w:w="12240" w:h="15840" w:code="1"/>
      <w:pgMar w:top="1008"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E68E7" w14:textId="77777777" w:rsidR="00CE5205" w:rsidRDefault="00CE5205">
      <w:r>
        <w:separator/>
      </w:r>
    </w:p>
  </w:endnote>
  <w:endnote w:type="continuationSeparator" w:id="0">
    <w:p w14:paraId="1803C0F2" w14:textId="77777777" w:rsidR="00CE5205" w:rsidRDefault="00CE5205">
      <w:r>
        <w:continuationSeparator/>
      </w:r>
    </w:p>
  </w:endnote>
  <w:endnote w:type="continuationNotice" w:id="1">
    <w:p w14:paraId="1F4FD3DE" w14:textId="77777777" w:rsidR="00CE5205" w:rsidRDefault="00CE52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etter Gothic 12cpi">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17EBD" w14:textId="77777777" w:rsidR="00B23A6C" w:rsidRDefault="00B23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83C13" w14:textId="77777777" w:rsidR="00B23A6C" w:rsidRDefault="00B2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7F24E" w14:textId="77777777" w:rsidR="00B23A6C" w:rsidRDefault="00B2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74779" w14:textId="77777777" w:rsidR="00CE5205" w:rsidRDefault="00CE5205">
      <w:r>
        <w:separator/>
      </w:r>
    </w:p>
  </w:footnote>
  <w:footnote w:type="continuationSeparator" w:id="0">
    <w:p w14:paraId="464A7715" w14:textId="77777777" w:rsidR="00CE5205" w:rsidRDefault="00CE5205">
      <w:r>
        <w:continuationSeparator/>
      </w:r>
    </w:p>
  </w:footnote>
  <w:footnote w:type="continuationNotice" w:id="1">
    <w:p w14:paraId="455F8524" w14:textId="77777777" w:rsidR="00CE5205" w:rsidRDefault="00CE5205"/>
  </w:footnote>
  <w:footnote w:id="2">
    <w:p w14:paraId="3463D592" w14:textId="77777777" w:rsidR="008A6B59" w:rsidRPr="00467567" w:rsidRDefault="008A6B59" w:rsidP="00F64F11">
      <w:pPr>
        <w:pStyle w:val="FootnoteText"/>
        <w:rPr>
          <w:rFonts w:ascii="Times New Roman" w:hAnsi="Times New Roman"/>
        </w:rPr>
      </w:pPr>
      <w:r w:rsidRPr="00467567">
        <w:rPr>
          <w:rStyle w:val="FootnoteReference"/>
          <w:rFonts w:ascii="Times New Roman" w:hAnsi="Times New Roman"/>
        </w:rPr>
        <w:footnoteRef/>
      </w:r>
      <w:r w:rsidRPr="00467567">
        <w:rPr>
          <w:rFonts w:ascii="Times New Roman" w:hAnsi="Times New Roman"/>
        </w:rPr>
        <w:t xml:space="preserve"> The EAB methodology included data from online job postings from April 2016 to March 2017 and searched for jobs that specify a master’s- or doctoral-level engineering technology degree; the data was obtained using web technology to mine more than 80 million online job postings and analyze real-time employer demand.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7FE73" w14:textId="77777777" w:rsidR="00B23A6C" w:rsidRDefault="00B23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528C5" w14:textId="77777777" w:rsidR="00773237" w:rsidRPr="0094104D" w:rsidRDefault="00773237" w:rsidP="008A6B59">
    <w:pPr>
      <w:pStyle w:val="Header"/>
      <w:jc w:val="right"/>
      <w:rPr>
        <w:rFonts w:ascii="Courier New" w:hAnsi="Courier New" w:cs="Courier New"/>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252307"/>
      <w:docPartObj>
        <w:docPartGallery w:val="Watermarks"/>
        <w:docPartUnique/>
      </w:docPartObj>
    </w:sdtPr>
    <w:sdtEndPr/>
    <w:sdtContent>
      <w:p w14:paraId="05171E35" w14:textId="406EAC3E" w:rsidR="00B23A6C" w:rsidRDefault="00934CC2">
        <w:pPr>
          <w:pStyle w:val="Header"/>
        </w:pPr>
        <w:r>
          <w:rPr>
            <w:noProof/>
          </w:rPr>
          <w:pict w14:anchorId="018787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07FFA"/>
    <w:multiLevelType w:val="hybridMultilevel"/>
    <w:tmpl w:val="E7DA5674"/>
    <w:lvl w:ilvl="0" w:tplc="8A1CD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A21C2F"/>
    <w:multiLevelType w:val="hybridMultilevel"/>
    <w:tmpl w:val="2D50A518"/>
    <w:lvl w:ilvl="0" w:tplc="2A22C35C">
      <w:numFmt w:val="bullet"/>
      <w:lvlText w:val="•"/>
      <w:lvlJc w:val="left"/>
      <w:pPr>
        <w:ind w:left="720" w:hanging="72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4868A3"/>
    <w:multiLevelType w:val="hybridMultilevel"/>
    <w:tmpl w:val="F7AC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1D7745"/>
    <w:multiLevelType w:val="hybridMultilevel"/>
    <w:tmpl w:val="C7604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70482F"/>
    <w:multiLevelType w:val="hybridMultilevel"/>
    <w:tmpl w:val="639E0E3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6631EBB"/>
    <w:multiLevelType w:val="hybridMultilevel"/>
    <w:tmpl w:val="6366C9B4"/>
    <w:lvl w:ilvl="0" w:tplc="8558F0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2A4D32"/>
    <w:multiLevelType w:val="hybridMultilevel"/>
    <w:tmpl w:val="5FA80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D5B7050"/>
    <w:multiLevelType w:val="hybridMultilevel"/>
    <w:tmpl w:val="A320B51C"/>
    <w:lvl w:ilvl="0" w:tplc="51BAD1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1"/>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WyNDA3NTY2MzcytjRQ0lEKTi0uzszPAykwqgUAdjWzJCwAAAA="/>
  </w:docVars>
  <w:rsids>
    <w:rsidRoot w:val="00801114"/>
    <w:rsid w:val="00001C07"/>
    <w:rsid w:val="00005D74"/>
    <w:rsid w:val="000078ED"/>
    <w:rsid w:val="00056C5C"/>
    <w:rsid w:val="00066AD1"/>
    <w:rsid w:val="000A21F4"/>
    <w:rsid w:val="000A7A94"/>
    <w:rsid w:val="000B358E"/>
    <w:rsid w:val="000C432D"/>
    <w:rsid w:val="000C6639"/>
    <w:rsid w:val="000D425A"/>
    <w:rsid w:val="000E1459"/>
    <w:rsid w:val="00100820"/>
    <w:rsid w:val="00123555"/>
    <w:rsid w:val="001272BC"/>
    <w:rsid w:val="00133AC6"/>
    <w:rsid w:val="00140382"/>
    <w:rsid w:val="0014181E"/>
    <w:rsid w:val="00171231"/>
    <w:rsid w:val="00172EE7"/>
    <w:rsid w:val="001737DA"/>
    <w:rsid w:val="001B34B0"/>
    <w:rsid w:val="001C6824"/>
    <w:rsid w:val="001E73DD"/>
    <w:rsid w:val="001F1B77"/>
    <w:rsid w:val="001F5032"/>
    <w:rsid w:val="00237895"/>
    <w:rsid w:val="00261A0C"/>
    <w:rsid w:val="00261D69"/>
    <w:rsid w:val="00282763"/>
    <w:rsid w:val="00284645"/>
    <w:rsid w:val="00287E14"/>
    <w:rsid w:val="002A2FB1"/>
    <w:rsid w:val="002C2F15"/>
    <w:rsid w:val="002C51FB"/>
    <w:rsid w:val="002E2FA6"/>
    <w:rsid w:val="002E75D4"/>
    <w:rsid w:val="003026D8"/>
    <w:rsid w:val="00316F34"/>
    <w:rsid w:val="0032463B"/>
    <w:rsid w:val="00345D80"/>
    <w:rsid w:val="00396C59"/>
    <w:rsid w:val="003A0DE3"/>
    <w:rsid w:val="003A472A"/>
    <w:rsid w:val="003D2565"/>
    <w:rsid w:val="003E064A"/>
    <w:rsid w:val="003E1E09"/>
    <w:rsid w:val="003F4E18"/>
    <w:rsid w:val="0045261F"/>
    <w:rsid w:val="00456823"/>
    <w:rsid w:val="004579F6"/>
    <w:rsid w:val="004634B1"/>
    <w:rsid w:val="004652A4"/>
    <w:rsid w:val="00467567"/>
    <w:rsid w:val="00482A38"/>
    <w:rsid w:val="004A295A"/>
    <w:rsid w:val="004A319B"/>
    <w:rsid w:val="004C0BF7"/>
    <w:rsid w:val="004E41C5"/>
    <w:rsid w:val="004E4680"/>
    <w:rsid w:val="005424C3"/>
    <w:rsid w:val="0056448A"/>
    <w:rsid w:val="00576429"/>
    <w:rsid w:val="005A11D3"/>
    <w:rsid w:val="005A5124"/>
    <w:rsid w:val="005A6786"/>
    <w:rsid w:val="005E3A57"/>
    <w:rsid w:val="005F19DE"/>
    <w:rsid w:val="005F389B"/>
    <w:rsid w:val="006043F0"/>
    <w:rsid w:val="0060495C"/>
    <w:rsid w:val="00611976"/>
    <w:rsid w:val="00617AE2"/>
    <w:rsid w:val="00626E2D"/>
    <w:rsid w:val="00632303"/>
    <w:rsid w:val="00667062"/>
    <w:rsid w:val="00680B91"/>
    <w:rsid w:val="006A7556"/>
    <w:rsid w:val="006C6F2D"/>
    <w:rsid w:val="006D640C"/>
    <w:rsid w:val="006E7299"/>
    <w:rsid w:val="006E76F6"/>
    <w:rsid w:val="006F470C"/>
    <w:rsid w:val="00701326"/>
    <w:rsid w:val="007125B6"/>
    <w:rsid w:val="0074176C"/>
    <w:rsid w:val="0075491D"/>
    <w:rsid w:val="00761D47"/>
    <w:rsid w:val="00767182"/>
    <w:rsid w:val="00773237"/>
    <w:rsid w:val="00773E2D"/>
    <w:rsid w:val="00781682"/>
    <w:rsid w:val="007857A4"/>
    <w:rsid w:val="007A436A"/>
    <w:rsid w:val="007B54EE"/>
    <w:rsid w:val="007C4C63"/>
    <w:rsid w:val="007D203A"/>
    <w:rsid w:val="007E0FE3"/>
    <w:rsid w:val="007F5A11"/>
    <w:rsid w:val="00801114"/>
    <w:rsid w:val="0082014C"/>
    <w:rsid w:val="0082626A"/>
    <w:rsid w:val="00835BFC"/>
    <w:rsid w:val="0084052C"/>
    <w:rsid w:val="008459D4"/>
    <w:rsid w:val="008706DE"/>
    <w:rsid w:val="008743E3"/>
    <w:rsid w:val="008A6B59"/>
    <w:rsid w:val="008B7796"/>
    <w:rsid w:val="008C221B"/>
    <w:rsid w:val="00901F73"/>
    <w:rsid w:val="00907490"/>
    <w:rsid w:val="00916F54"/>
    <w:rsid w:val="0093315D"/>
    <w:rsid w:val="00934CC2"/>
    <w:rsid w:val="00936970"/>
    <w:rsid w:val="009657D6"/>
    <w:rsid w:val="0097097C"/>
    <w:rsid w:val="00972739"/>
    <w:rsid w:val="00983702"/>
    <w:rsid w:val="0099135C"/>
    <w:rsid w:val="009978B5"/>
    <w:rsid w:val="009A7365"/>
    <w:rsid w:val="009E6C3B"/>
    <w:rsid w:val="009F1176"/>
    <w:rsid w:val="00A17C44"/>
    <w:rsid w:val="00A21E86"/>
    <w:rsid w:val="00A4011D"/>
    <w:rsid w:val="00A9198E"/>
    <w:rsid w:val="00AB7BAA"/>
    <w:rsid w:val="00AD2840"/>
    <w:rsid w:val="00B213EA"/>
    <w:rsid w:val="00B23A6C"/>
    <w:rsid w:val="00B243E1"/>
    <w:rsid w:val="00B30691"/>
    <w:rsid w:val="00B40139"/>
    <w:rsid w:val="00B45253"/>
    <w:rsid w:val="00BB34EE"/>
    <w:rsid w:val="00BD3A97"/>
    <w:rsid w:val="00BE5B7D"/>
    <w:rsid w:val="00C236A8"/>
    <w:rsid w:val="00C36933"/>
    <w:rsid w:val="00C4441E"/>
    <w:rsid w:val="00C63DBA"/>
    <w:rsid w:val="00C8479F"/>
    <w:rsid w:val="00C920B4"/>
    <w:rsid w:val="00C94448"/>
    <w:rsid w:val="00CA49DC"/>
    <w:rsid w:val="00CE5205"/>
    <w:rsid w:val="00CE5E31"/>
    <w:rsid w:val="00CE6D93"/>
    <w:rsid w:val="00D01693"/>
    <w:rsid w:val="00D0586B"/>
    <w:rsid w:val="00D119A0"/>
    <w:rsid w:val="00D143CA"/>
    <w:rsid w:val="00D16776"/>
    <w:rsid w:val="00D31F9A"/>
    <w:rsid w:val="00D567CE"/>
    <w:rsid w:val="00D62A81"/>
    <w:rsid w:val="00DB69E9"/>
    <w:rsid w:val="00DE4029"/>
    <w:rsid w:val="00E262D5"/>
    <w:rsid w:val="00E31216"/>
    <w:rsid w:val="00E442D5"/>
    <w:rsid w:val="00E506A3"/>
    <w:rsid w:val="00E65FB3"/>
    <w:rsid w:val="00E7794E"/>
    <w:rsid w:val="00E86CF1"/>
    <w:rsid w:val="00E948C0"/>
    <w:rsid w:val="00EB3859"/>
    <w:rsid w:val="00EB73B2"/>
    <w:rsid w:val="00ED0F66"/>
    <w:rsid w:val="00F019DC"/>
    <w:rsid w:val="00F074E9"/>
    <w:rsid w:val="00F162E0"/>
    <w:rsid w:val="00F16EF0"/>
    <w:rsid w:val="00F2050D"/>
    <w:rsid w:val="00F30477"/>
    <w:rsid w:val="00F35083"/>
    <w:rsid w:val="00F40C69"/>
    <w:rsid w:val="00F568C3"/>
    <w:rsid w:val="00F64F11"/>
    <w:rsid w:val="00F66078"/>
    <w:rsid w:val="00F66FF1"/>
    <w:rsid w:val="00F67496"/>
    <w:rsid w:val="00F746BD"/>
    <w:rsid w:val="00F97817"/>
    <w:rsid w:val="00FC12D0"/>
    <w:rsid w:val="00FC13FF"/>
    <w:rsid w:val="00FD4E2E"/>
    <w:rsid w:val="00FE0954"/>
    <w:rsid w:val="00FE2757"/>
    <w:rsid w:val="00FE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D122B6"/>
  <w15:docId w15:val="{AEA4FAF3-8327-4D25-B5E2-63729B5D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3EA"/>
  </w:style>
  <w:style w:type="paragraph" w:styleId="Heading1">
    <w:name w:val="heading 1"/>
    <w:basedOn w:val="Normal"/>
    <w:next w:val="Normal"/>
    <w:link w:val="Heading1Char"/>
    <w:qFormat/>
    <w:rsid w:val="00B213EA"/>
    <w:pPr>
      <w:keepNext/>
      <w:outlineLvl w:val="0"/>
    </w:pPr>
    <w:rPr>
      <w:sz w:val="24"/>
    </w:rPr>
  </w:style>
  <w:style w:type="paragraph" w:styleId="Heading2">
    <w:name w:val="heading 2"/>
    <w:basedOn w:val="Normal"/>
    <w:next w:val="Normal"/>
    <w:link w:val="Heading2Char"/>
    <w:qFormat/>
    <w:rsid w:val="00B213EA"/>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213EA"/>
    <w:pPr>
      <w:ind w:left="1440" w:hanging="1440"/>
    </w:pPr>
    <w:rPr>
      <w:sz w:val="24"/>
    </w:rPr>
  </w:style>
  <w:style w:type="paragraph" w:styleId="BlockText">
    <w:name w:val="Block Text"/>
    <w:basedOn w:val="Normal"/>
    <w:rsid w:val="00B213EA"/>
    <w:pPr>
      <w:ind w:left="720" w:right="720"/>
    </w:pPr>
    <w:rPr>
      <w:b/>
      <w:sz w:val="24"/>
    </w:rPr>
  </w:style>
  <w:style w:type="paragraph" w:styleId="Header">
    <w:name w:val="header"/>
    <w:basedOn w:val="Normal"/>
    <w:link w:val="HeaderChar"/>
    <w:rsid w:val="00B213EA"/>
    <w:pPr>
      <w:tabs>
        <w:tab w:val="center" w:pos="4320"/>
        <w:tab w:val="right" w:pos="8640"/>
      </w:tabs>
    </w:pPr>
  </w:style>
  <w:style w:type="paragraph" w:styleId="Footer">
    <w:name w:val="footer"/>
    <w:basedOn w:val="Normal"/>
    <w:link w:val="FooterChar"/>
    <w:uiPriority w:val="99"/>
    <w:rsid w:val="00B213EA"/>
    <w:pPr>
      <w:tabs>
        <w:tab w:val="center" w:pos="4320"/>
        <w:tab w:val="right" w:pos="8640"/>
      </w:tabs>
    </w:pPr>
  </w:style>
  <w:style w:type="paragraph" w:styleId="BodyText">
    <w:name w:val="Body Text"/>
    <w:basedOn w:val="Normal"/>
    <w:rsid w:val="00801114"/>
    <w:pPr>
      <w:spacing w:after="120"/>
    </w:pPr>
  </w:style>
  <w:style w:type="paragraph" w:styleId="BalloonText">
    <w:name w:val="Balloon Text"/>
    <w:basedOn w:val="Normal"/>
    <w:semiHidden/>
    <w:rsid w:val="004E41C5"/>
    <w:rPr>
      <w:rFonts w:ascii="Tahoma" w:hAnsi="Tahoma" w:cs="Tahoma"/>
      <w:sz w:val="16"/>
      <w:szCs w:val="16"/>
    </w:rPr>
  </w:style>
  <w:style w:type="character" w:customStyle="1" w:styleId="HeaderChar">
    <w:name w:val="Header Char"/>
    <w:basedOn w:val="DefaultParagraphFont"/>
    <w:link w:val="Header"/>
    <w:rsid w:val="009F1176"/>
  </w:style>
  <w:style w:type="character" w:customStyle="1" w:styleId="Heading1Char">
    <w:name w:val="Heading 1 Char"/>
    <w:basedOn w:val="DefaultParagraphFont"/>
    <w:link w:val="Heading1"/>
    <w:rsid w:val="009F1176"/>
    <w:rPr>
      <w:sz w:val="24"/>
    </w:rPr>
  </w:style>
  <w:style w:type="character" w:customStyle="1" w:styleId="Heading2Char">
    <w:name w:val="Heading 2 Char"/>
    <w:basedOn w:val="DefaultParagraphFont"/>
    <w:link w:val="Heading2"/>
    <w:rsid w:val="009F1176"/>
    <w:rPr>
      <w:b/>
      <w:sz w:val="24"/>
    </w:rPr>
  </w:style>
  <w:style w:type="character" w:customStyle="1" w:styleId="BodyTextIndentChar">
    <w:name w:val="Body Text Indent Char"/>
    <w:basedOn w:val="DefaultParagraphFont"/>
    <w:link w:val="BodyTextIndent"/>
    <w:rsid w:val="009F1176"/>
    <w:rPr>
      <w:sz w:val="24"/>
    </w:rPr>
  </w:style>
  <w:style w:type="paragraph" w:styleId="Title">
    <w:name w:val="Title"/>
    <w:basedOn w:val="Normal"/>
    <w:link w:val="TitleChar"/>
    <w:qFormat/>
    <w:rsid w:val="00F16EF0"/>
    <w:pPr>
      <w:jc w:val="center"/>
    </w:pPr>
    <w:rPr>
      <w:rFonts w:ascii="Arial" w:hAnsi="Arial"/>
      <w:b/>
    </w:rPr>
  </w:style>
  <w:style w:type="character" w:customStyle="1" w:styleId="TitleChar">
    <w:name w:val="Title Char"/>
    <w:basedOn w:val="DefaultParagraphFont"/>
    <w:link w:val="Title"/>
    <w:rsid w:val="00F16EF0"/>
    <w:rPr>
      <w:rFonts w:ascii="Arial" w:hAnsi="Arial"/>
      <w:b/>
    </w:rPr>
  </w:style>
  <w:style w:type="character" w:styleId="PageNumber">
    <w:name w:val="page number"/>
    <w:basedOn w:val="DefaultParagraphFont"/>
    <w:rsid w:val="00F16EF0"/>
  </w:style>
  <w:style w:type="character" w:customStyle="1" w:styleId="FooterChar">
    <w:name w:val="Footer Char"/>
    <w:basedOn w:val="DefaultParagraphFont"/>
    <w:link w:val="Footer"/>
    <w:uiPriority w:val="99"/>
    <w:rsid w:val="00F16EF0"/>
  </w:style>
  <w:style w:type="paragraph" w:styleId="FootnoteText">
    <w:name w:val="footnote text"/>
    <w:basedOn w:val="Normal"/>
    <w:link w:val="FootnoteTextChar"/>
    <w:uiPriority w:val="99"/>
    <w:semiHidden/>
    <w:rsid w:val="000C432D"/>
    <w:pPr>
      <w:widowControl w:val="0"/>
      <w:autoSpaceDE w:val="0"/>
      <w:autoSpaceDN w:val="0"/>
      <w:adjustRightInd w:val="0"/>
    </w:pPr>
    <w:rPr>
      <w:rFonts w:ascii="Letter Gothic 12cpi" w:hAnsi="Letter Gothic 12cpi"/>
    </w:rPr>
  </w:style>
  <w:style w:type="character" w:customStyle="1" w:styleId="FootnoteTextChar">
    <w:name w:val="Footnote Text Char"/>
    <w:basedOn w:val="DefaultParagraphFont"/>
    <w:link w:val="FootnoteText"/>
    <w:uiPriority w:val="99"/>
    <w:semiHidden/>
    <w:rsid w:val="000C432D"/>
    <w:rPr>
      <w:rFonts w:ascii="Letter Gothic 12cpi" w:hAnsi="Letter Gothic 12cpi"/>
    </w:rPr>
  </w:style>
  <w:style w:type="character" w:styleId="FootnoteReference">
    <w:name w:val="footnote reference"/>
    <w:basedOn w:val="DefaultParagraphFont"/>
    <w:uiPriority w:val="99"/>
    <w:semiHidden/>
    <w:rsid w:val="000C432D"/>
    <w:rPr>
      <w:vertAlign w:val="superscript"/>
    </w:rPr>
  </w:style>
  <w:style w:type="paragraph" w:styleId="ListParagraph">
    <w:name w:val="List Paragraph"/>
    <w:basedOn w:val="Normal"/>
    <w:uiPriority w:val="34"/>
    <w:qFormat/>
    <w:rsid w:val="00F64F11"/>
    <w:pPr>
      <w:ind w:left="720"/>
      <w:contextualSpacing/>
    </w:pPr>
    <w:rPr>
      <w:rFonts w:ascii="Arial" w:hAnsi="Arial" w:cs="Arial"/>
    </w:rPr>
  </w:style>
  <w:style w:type="paragraph" w:styleId="NormalWeb">
    <w:name w:val="Normal (Web)"/>
    <w:basedOn w:val="Normal"/>
    <w:uiPriority w:val="99"/>
    <w:semiHidden/>
    <w:unhideWhenUsed/>
    <w:rsid w:val="00F64F11"/>
    <w:pPr>
      <w:spacing w:before="100" w:beforeAutospacing="1" w:after="100" w:afterAutospacing="1"/>
    </w:pPr>
    <w:rPr>
      <w:rFonts w:eastAsiaTheme="minorEastAsia"/>
      <w:sz w:val="24"/>
      <w:szCs w:val="24"/>
    </w:rPr>
  </w:style>
  <w:style w:type="table" w:styleId="TableGrid">
    <w:name w:val="Table Grid"/>
    <w:basedOn w:val="TableNormal"/>
    <w:uiPriority w:val="39"/>
    <w:rsid w:val="00C92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920B4"/>
    <w:rPr>
      <w:color w:val="0000FF"/>
      <w:u w:val="single"/>
    </w:rPr>
  </w:style>
  <w:style w:type="character" w:styleId="CommentReference">
    <w:name w:val="annotation reference"/>
    <w:basedOn w:val="DefaultParagraphFont"/>
    <w:semiHidden/>
    <w:unhideWhenUsed/>
    <w:rsid w:val="00773E2D"/>
    <w:rPr>
      <w:sz w:val="16"/>
      <w:szCs w:val="16"/>
    </w:rPr>
  </w:style>
  <w:style w:type="paragraph" w:styleId="CommentText">
    <w:name w:val="annotation text"/>
    <w:basedOn w:val="Normal"/>
    <w:link w:val="CommentTextChar"/>
    <w:semiHidden/>
    <w:unhideWhenUsed/>
    <w:rsid w:val="00773E2D"/>
  </w:style>
  <w:style w:type="character" w:customStyle="1" w:styleId="CommentTextChar">
    <w:name w:val="Comment Text Char"/>
    <w:basedOn w:val="DefaultParagraphFont"/>
    <w:link w:val="CommentText"/>
    <w:semiHidden/>
    <w:rsid w:val="00773E2D"/>
  </w:style>
  <w:style w:type="paragraph" w:styleId="CommentSubject">
    <w:name w:val="annotation subject"/>
    <w:basedOn w:val="CommentText"/>
    <w:next w:val="CommentText"/>
    <w:link w:val="CommentSubjectChar"/>
    <w:semiHidden/>
    <w:unhideWhenUsed/>
    <w:rsid w:val="00773E2D"/>
    <w:rPr>
      <w:b/>
      <w:bCs/>
    </w:rPr>
  </w:style>
  <w:style w:type="character" w:customStyle="1" w:styleId="CommentSubjectChar">
    <w:name w:val="Comment Subject Char"/>
    <w:basedOn w:val="CommentTextChar"/>
    <w:link w:val="CommentSubject"/>
    <w:semiHidden/>
    <w:rsid w:val="00773E2D"/>
    <w:rPr>
      <w:b/>
      <w:bCs/>
    </w:rPr>
  </w:style>
  <w:style w:type="paragraph" w:styleId="Revision">
    <w:name w:val="Revision"/>
    <w:hidden/>
    <w:uiPriority w:val="99"/>
    <w:semiHidden/>
    <w:rsid w:val="00626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55355">
      <w:bodyDiv w:val="1"/>
      <w:marLeft w:val="0"/>
      <w:marRight w:val="0"/>
      <w:marTop w:val="0"/>
      <w:marBottom w:val="0"/>
      <w:divBdr>
        <w:top w:val="none" w:sz="0" w:space="0" w:color="auto"/>
        <w:left w:val="none" w:sz="0" w:space="0" w:color="auto"/>
        <w:bottom w:val="none" w:sz="0" w:space="0" w:color="auto"/>
        <w:right w:val="none" w:sz="0" w:space="0" w:color="auto"/>
      </w:divBdr>
    </w:div>
    <w:div w:id="389959251">
      <w:bodyDiv w:val="1"/>
      <w:marLeft w:val="0"/>
      <w:marRight w:val="0"/>
      <w:marTop w:val="0"/>
      <w:marBottom w:val="0"/>
      <w:divBdr>
        <w:top w:val="none" w:sz="0" w:space="0" w:color="auto"/>
        <w:left w:val="none" w:sz="0" w:space="0" w:color="auto"/>
        <w:bottom w:val="none" w:sz="0" w:space="0" w:color="auto"/>
        <w:right w:val="none" w:sz="0" w:space="0" w:color="auto"/>
      </w:divBdr>
    </w:div>
    <w:div w:id="779496100">
      <w:bodyDiv w:val="1"/>
      <w:marLeft w:val="0"/>
      <w:marRight w:val="0"/>
      <w:marTop w:val="0"/>
      <w:marBottom w:val="0"/>
      <w:divBdr>
        <w:top w:val="none" w:sz="0" w:space="0" w:color="auto"/>
        <w:left w:val="none" w:sz="0" w:space="0" w:color="auto"/>
        <w:bottom w:val="none" w:sz="0" w:space="0" w:color="auto"/>
        <w:right w:val="none" w:sz="0" w:space="0" w:color="auto"/>
      </w:divBdr>
    </w:div>
    <w:div w:id="1162359001">
      <w:bodyDiv w:val="1"/>
      <w:marLeft w:val="0"/>
      <w:marRight w:val="0"/>
      <w:marTop w:val="0"/>
      <w:marBottom w:val="0"/>
      <w:divBdr>
        <w:top w:val="none" w:sz="0" w:space="0" w:color="auto"/>
        <w:left w:val="none" w:sz="0" w:space="0" w:color="auto"/>
        <w:bottom w:val="none" w:sz="0" w:space="0" w:color="auto"/>
        <w:right w:val="none" w:sz="0" w:space="0" w:color="auto"/>
      </w:divBdr>
    </w:div>
    <w:div w:id="182119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464C6-767C-42DE-94A0-D2550CADB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1335</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NEW DEGREE PROGRAM (BACHELOR’S DEGREE)</vt:lpstr>
    </vt:vector>
  </TitlesOfParts>
  <Company>Texas A&amp;M University System</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DEGREE PROGRAM (BACHELOR’S DEGREE)</dc:title>
  <dc:creator>Verna L. Dewees</dc:creator>
  <cp:lastModifiedBy>Pappas, Sheri A.</cp:lastModifiedBy>
  <cp:revision>2</cp:revision>
  <cp:lastPrinted>2018-07-05T14:32:00Z</cp:lastPrinted>
  <dcterms:created xsi:type="dcterms:W3CDTF">2018-10-01T16:13:00Z</dcterms:created>
  <dcterms:modified xsi:type="dcterms:W3CDTF">2018-10-01T16:13:00Z</dcterms:modified>
</cp:coreProperties>
</file>