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021314" w14:textId="77777777" w:rsidR="00442AAE" w:rsidRPr="00637A11" w:rsidRDefault="001350CA">
      <w:pPr>
        <w:pStyle w:val="Heading1"/>
        <w:rPr>
          <w:rFonts w:ascii="Century Gothic" w:hAnsi="Century Gothic"/>
          <w:color w:val="000000" w:themeColor="text1"/>
        </w:rPr>
      </w:pPr>
      <w:bookmarkStart w:id="0" w:name="_GoBack"/>
      <w:bookmarkEnd w:id="0"/>
      <w:r w:rsidRPr="00637A11">
        <w:rPr>
          <w:rFonts w:ascii="Century Gothic" w:hAnsi="Century Gothic"/>
          <w:color w:val="000000" w:themeColor="text1"/>
        </w:rPr>
        <w:t>Business Case</w:t>
      </w:r>
    </w:p>
    <w:p w14:paraId="13A2B41F" w14:textId="77777777" w:rsidR="00442AAE" w:rsidRPr="00021FB2" w:rsidRDefault="000B634F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CampusClarity Implementation</w:t>
      </w:r>
    </w:p>
    <w:p w14:paraId="63E4B22C" w14:textId="77777777" w:rsidR="00442AAE" w:rsidRPr="00637A11" w:rsidRDefault="001350CA">
      <w:pPr>
        <w:pStyle w:val="Heading5"/>
        <w:spacing w:after="0"/>
        <w:rPr>
          <w:color w:val="000000" w:themeColor="text1"/>
        </w:rPr>
      </w:pPr>
      <w:r w:rsidRPr="00637A11">
        <w:rPr>
          <w:color w:val="000000" w:themeColor="text1"/>
        </w:rPr>
        <w:t>Versi</w:t>
      </w:r>
      <w:r w:rsidR="000B634F" w:rsidRPr="00637A11">
        <w:rPr>
          <w:color w:val="000000" w:themeColor="text1"/>
        </w:rPr>
        <w:t>on of TAC 216 Companion Guide: 2016</w:t>
      </w:r>
    </w:p>
    <w:p w14:paraId="57942291" w14:textId="77777777" w:rsidR="00442AAE" w:rsidRPr="00637A11" w:rsidRDefault="001350CA">
      <w:pPr>
        <w:pStyle w:val="Heading5"/>
        <w:spacing w:before="0" w:after="0"/>
        <w:rPr>
          <w:color w:val="000000" w:themeColor="text1"/>
        </w:rPr>
      </w:pPr>
      <w:r w:rsidRPr="00637A11">
        <w:rPr>
          <w:color w:val="000000" w:themeColor="text1"/>
        </w:rPr>
        <w:t xml:space="preserve">Date Prepared: </w:t>
      </w:r>
      <w:r w:rsidR="000B634F" w:rsidRPr="00637A11">
        <w:rPr>
          <w:color w:val="000000" w:themeColor="text1"/>
        </w:rPr>
        <w:t>January 17, 2017</w:t>
      </w:r>
    </w:p>
    <w:p w14:paraId="68FEF3AF" w14:textId="77777777" w:rsidR="00442AAE" w:rsidRPr="00637A11" w:rsidRDefault="001350CA">
      <w:pPr>
        <w:pStyle w:val="Heading5"/>
        <w:spacing w:before="0"/>
        <w:rPr>
          <w:color w:val="000000" w:themeColor="text1"/>
        </w:rPr>
      </w:pPr>
      <w:r w:rsidRPr="00637A11">
        <w:rPr>
          <w:color w:val="000000" w:themeColor="text1"/>
        </w:rPr>
        <w:t xml:space="preserve">Prepared by: </w:t>
      </w:r>
      <w:r w:rsidR="00D7545A" w:rsidRPr="00637A11">
        <w:rPr>
          <w:color w:val="000000" w:themeColor="text1"/>
        </w:rPr>
        <w:t>PM name</w:t>
      </w:r>
      <w:r w:rsidR="000B634F" w:rsidRPr="00637A11">
        <w:rPr>
          <w:color w:val="000000" w:themeColor="text1"/>
        </w:rPr>
        <w:t xml:space="preserve">, </w:t>
      </w:r>
      <w:r w:rsidR="00D7545A" w:rsidRPr="00637A11">
        <w:rPr>
          <w:color w:val="000000" w:themeColor="text1"/>
        </w:rPr>
        <w:t>pm.name</w:t>
      </w:r>
      <w:r w:rsidR="000B634F" w:rsidRPr="00637A11">
        <w:rPr>
          <w:color w:val="000000" w:themeColor="text1"/>
        </w:rPr>
        <w:t>@tamucc.edu , 361-</w:t>
      </w:r>
      <w:r w:rsidR="00D7545A" w:rsidRPr="00637A11">
        <w:rPr>
          <w:color w:val="000000" w:themeColor="text1"/>
        </w:rPr>
        <w:t>xxx-xxxx</w:t>
      </w:r>
    </w:p>
    <w:p w14:paraId="17D766B4" w14:textId="77777777" w:rsidR="00442AAE" w:rsidRDefault="00442AAE">
      <w:pPr>
        <w:spacing w:after="0"/>
      </w:pPr>
    </w:p>
    <w:p w14:paraId="3D8BD0F8" w14:textId="77777777" w:rsidR="00442AAE" w:rsidRDefault="001350CA">
      <w:pPr>
        <w:tabs>
          <w:tab w:val="left" w:pos="2520"/>
          <w:tab w:val="left" w:pos="5040"/>
          <w:tab w:val="left" w:pos="7560"/>
          <w:tab w:val="left" w:pos="7920"/>
        </w:tabs>
      </w:pPr>
      <w:r>
        <w:t>Approver Name</w:t>
      </w:r>
      <w:r>
        <w:tab/>
      </w:r>
      <w:r w:rsidR="00E16433">
        <w:tab/>
      </w:r>
      <w:r w:rsidR="00E16433">
        <w:tab/>
        <w:t xml:space="preserve">Project </w:t>
      </w:r>
      <w:r>
        <w:t>Title</w:t>
      </w:r>
      <w:r>
        <w:tab/>
      </w:r>
    </w:p>
    <w:p w14:paraId="37DCA22C" w14:textId="77777777" w:rsidR="00BF32AC" w:rsidRDefault="00D7545A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CIO First Name Last Name</w:t>
      </w:r>
      <w:r w:rsidR="00284719" w:rsidRPr="00E16433">
        <w:tab/>
      </w:r>
      <w:r w:rsidR="00284719" w:rsidRPr="00E16433">
        <w:tab/>
      </w:r>
      <w:r w:rsidR="001350CA">
        <w:tab/>
      </w:r>
      <w:r w:rsidR="00E16433">
        <w:tab/>
      </w:r>
      <w:r w:rsidR="00E16433">
        <w:tab/>
      </w:r>
      <w:r w:rsidR="000B634F">
        <w:rPr>
          <w:color w:val="808080"/>
        </w:rPr>
        <w:t>CIO</w:t>
      </w:r>
      <w:r w:rsidR="001350CA">
        <w:tab/>
      </w:r>
    </w:p>
    <w:p w14:paraId="264630ED" w14:textId="77777777" w:rsidR="001C6E36" w:rsidRDefault="00D7545A" w:rsidP="001C6E36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Sponsor First Name Last Name Title</w:t>
      </w:r>
      <w:r w:rsidR="001C6E36">
        <w:tab/>
      </w:r>
      <w:r w:rsidR="00E16433">
        <w:tab/>
      </w:r>
      <w:r w:rsidR="00E16433">
        <w:tab/>
      </w:r>
      <w:r w:rsidR="00E16433">
        <w:tab/>
      </w:r>
      <w:r w:rsidR="001C6E36">
        <w:rPr>
          <w:color w:val="808080"/>
        </w:rPr>
        <w:t>Project Sponsor</w:t>
      </w:r>
      <w:r w:rsidR="001C6E36">
        <w:tab/>
      </w:r>
    </w:p>
    <w:p w14:paraId="6DCFBDC0" w14:textId="77777777" w:rsidR="001C6E36" w:rsidRDefault="00D7545A" w:rsidP="001C6E36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Sponsor First Name Last Name Title</w:t>
      </w:r>
      <w:r w:rsidR="001C6E36">
        <w:tab/>
      </w:r>
      <w:r w:rsidR="008E17D9">
        <w:tab/>
      </w:r>
      <w:r w:rsidR="008E17D9">
        <w:tab/>
      </w:r>
      <w:r w:rsidR="008E17D9">
        <w:tab/>
      </w:r>
      <w:r w:rsidR="001C6E36">
        <w:rPr>
          <w:color w:val="808080"/>
        </w:rPr>
        <w:t>Project Sponsor</w:t>
      </w:r>
      <w:r w:rsidR="001C6E36">
        <w:tab/>
      </w:r>
    </w:p>
    <w:p w14:paraId="55AF5DCB" w14:textId="77777777" w:rsidR="00442AAE" w:rsidRDefault="00D7545A">
      <w:pPr>
        <w:tabs>
          <w:tab w:val="left" w:pos="720"/>
          <w:tab w:val="left" w:pos="1440"/>
          <w:tab w:val="left" w:pos="2160"/>
          <w:tab w:val="left" w:pos="2520"/>
          <w:tab w:val="left" w:pos="4320"/>
          <w:tab w:val="left" w:pos="5040"/>
          <w:tab w:val="left" w:pos="5820"/>
          <w:tab w:val="left" w:pos="7560"/>
          <w:tab w:val="left" w:pos="7920"/>
        </w:tabs>
      </w:pPr>
      <w:r>
        <w:rPr>
          <w:u w:val="single"/>
        </w:rPr>
        <w:t>ISO First Name Last Name</w:t>
      </w:r>
      <w:r w:rsidR="001350CA" w:rsidRPr="00E16433">
        <w:tab/>
      </w:r>
      <w:r w:rsidR="00284719" w:rsidRPr="00E16433">
        <w:tab/>
      </w:r>
      <w:r w:rsidR="001350CA">
        <w:tab/>
      </w:r>
      <w:r w:rsidR="00E16433">
        <w:tab/>
      </w:r>
      <w:r w:rsidR="00E16433">
        <w:tab/>
      </w:r>
      <w:r w:rsidR="00284719">
        <w:rPr>
          <w:color w:val="808080"/>
        </w:rPr>
        <w:t>ISO</w:t>
      </w:r>
      <w:r w:rsidR="001350CA">
        <w:tab/>
      </w:r>
    </w:p>
    <w:p w14:paraId="43AE1614" w14:textId="77777777" w:rsidR="00442AAE" w:rsidRPr="00B219EA" w:rsidRDefault="00442AAE">
      <w:pPr>
        <w:spacing w:after="200" w:line="240" w:lineRule="auto"/>
        <w:rPr>
          <w:rFonts w:asciiTheme="minorHAnsi" w:hAnsiTheme="minorHAnsi"/>
        </w:rPr>
      </w:pPr>
    </w:p>
    <w:p w14:paraId="0891D53C" w14:textId="77777777" w:rsidR="00442AAE" w:rsidRDefault="001350CA">
      <w:r>
        <w:br w:type="page"/>
      </w:r>
    </w:p>
    <w:p w14:paraId="5DAE1BB6" w14:textId="77777777" w:rsidR="00442AAE" w:rsidRPr="00637A11" w:rsidRDefault="001350CA">
      <w:pPr>
        <w:pStyle w:val="Heading3"/>
        <w:rPr>
          <w:color w:val="000000" w:themeColor="text1"/>
        </w:rPr>
      </w:pPr>
      <w:r w:rsidRPr="00637A11">
        <w:rPr>
          <w:color w:val="000000" w:themeColor="text1"/>
        </w:rPr>
        <w:lastRenderedPageBreak/>
        <w:t>Section 1. Project Overview</w:t>
      </w:r>
    </w:p>
    <w:p w14:paraId="7B6A08CE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Business Need</w:t>
      </w:r>
    </w:p>
    <w:p w14:paraId="2DE0B20F" w14:textId="77777777" w:rsidR="00F61EBD" w:rsidRDefault="00D548F0" w:rsidP="00F61EBD">
      <w:pPr>
        <w:spacing w:after="200" w:line="240" w:lineRule="auto"/>
        <w:jc w:val="both"/>
        <w:rPr>
          <w:rFonts w:asciiTheme="minorHAnsi" w:eastAsia="Questrial" w:hAnsiTheme="minorHAnsi" w:cs="Questrial"/>
          <w:color w:val="000000" w:themeColor="text1"/>
        </w:rPr>
      </w:pPr>
      <w:r w:rsidRPr="00BD2094">
        <w:rPr>
          <w:rFonts w:asciiTheme="minorHAnsi" w:eastAsia="Questrial" w:hAnsiTheme="minorHAnsi" w:cs="Questrial"/>
          <w:color w:val="000000" w:themeColor="text1"/>
        </w:rPr>
        <w:t xml:space="preserve">Texas A&amp;M – Corpus Christi is in need 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>of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 a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>n</w:t>
      </w:r>
      <w:r w:rsidR="00F61EBD">
        <w:rPr>
          <w:rFonts w:asciiTheme="minorHAnsi" w:eastAsia="Questrial" w:hAnsiTheme="minorHAnsi" w:cs="Questrial"/>
          <w:color w:val="000000" w:themeColor="text1"/>
        </w:rPr>
        <w:t xml:space="preserve"> effective and 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>efficient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 means 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 xml:space="preserve">for ensuring compliance to statutorily required </w:t>
      </w:r>
      <w:r w:rsidR="0015259C" w:rsidRPr="00BD2094">
        <w:rPr>
          <w:rFonts w:asciiTheme="minorHAnsi" w:eastAsia="Questrial" w:hAnsiTheme="minorHAnsi" w:cs="Questrial"/>
          <w:color w:val="000000" w:themeColor="text1"/>
        </w:rPr>
        <w:t>Title IX information and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 xml:space="preserve"> education </w:t>
      </w:r>
      <w:r w:rsidR="0015259C" w:rsidRPr="00BD2094">
        <w:rPr>
          <w:rFonts w:asciiTheme="minorHAnsi" w:eastAsia="Questrial" w:hAnsiTheme="minorHAnsi" w:cs="Questrial"/>
          <w:color w:val="000000" w:themeColor="text1"/>
        </w:rPr>
        <w:t>for</w:t>
      </w:r>
      <w:r w:rsidR="00284719" w:rsidRPr="00BD2094">
        <w:rPr>
          <w:rFonts w:asciiTheme="minorHAnsi" w:eastAsia="Questrial" w:hAnsiTheme="minorHAnsi" w:cs="Questrial"/>
          <w:color w:val="000000" w:themeColor="text1"/>
        </w:rPr>
        <w:t xml:space="preserve"> students.  This includes the development and maintenance of the training material, the </w:t>
      </w:r>
      <w:r w:rsidR="00BC458F" w:rsidRPr="00BD2094">
        <w:rPr>
          <w:rFonts w:asciiTheme="minorHAnsi" w:eastAsia="Questrial" w:hAnsiTheme="minorHAnsi" w:cs="Questrial"/>
          <w:color w:val="000000" w:themeColor="text1"/>
        </w:rPr>
        <w:t xml:space="preserve">retention of historical information and reporting functionality.  </w:t>
      </w:r>
    </w:p>
    <w:p w14:paraId="201BC098" w14:textId="77777777" w:rsidR="00442AAE" w:rsidRPr="00BD2094" w:rsidRDefault="00BC458F" w:rsidP="00F61EBD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 w:rsidRPr="00BD2094">
        <w:rPr>
          <w:rFonts w:asciiTheme="minorHAnsi" w:eastAsia="Questrial" w:hAnsiTheme="minorHAnsi" w:cs="Questrial"/>
          <w:color w:val="000000" w:themeColor="text1"/>
        </w:rPr>
        <w:t xml:space="preserve">Current processes include </w:t>
      </w:r>
      <w:r w:rsidR="00F61EBD">
        <w:rPr>
          <w:rFonts w:asciiTheme="minorHAnsi" w:eastAsia="Questrial" w:hAnsiTheme="minorHAnsi" w:cs="Questrial"/>
          <w:color w:val="000000" w:themeColor="text1"/>
        </w:rPr>
        <w:t>Title IX related information provided to all incoming students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 during Orientation and fo</w:t>
      </w:r>
      <w:r w:rsidR="00F61EBD">
        <w:rPr>
          <w:rFonts w:asciiTheme="minorHAnsi" w:eastAsia="Questrial" w:hAnsiTheme="minorHAnsi" w:cs="Questrial"/>
          <w:color w:val="000000" w:themeColor="text1"/>
        </w:rPr>
        <w:t xml:space="preserve">llow on training for </w:t>
      </w:r>
      <w:r w:rsidRPr="00BD2094">
        <w:rPr>
          <w:rFonts w:asciiTheme="minorHAnsi" w:eastAsia="Questrial" w:hAnsiTheme="minorHAnsi" w:cs="Questrial"/>
          <w:color w:val="000000" w:themeColor="text1"/>
        </w:rPr>
        <w:t xml:space="preserve">key </w:t>
      </w:r>
      <w:r w:rsidR="00F61EBD">
        <w:rPr>
          <w:rFonts w:asciiTheme="minorHAnsi" w:eastAsia="Questrial" w:hAnsiTheme="minorHAnsi" w:cs="Questrial"/>
          <w:color w:val="000000" w:themeColor="text1"/>
        </w:rPr>
        <w:t xml:space="preserve">Student Leaders and select </w:t>
      </w:r>
      <w:r w:rsidRPr="00BD2094">
        <w:rPr>
          <w:rFonts w:asciiTheme="minorHAnsi" w:eastAsia="Questrial" w:hAnsiTheme="minorHAnsi" w:cs="Questrial"/>
          <w:color w:val="000000" w:themeColor="text1"/>
        </w:rPr>
        <w:t>Campus student groups.  Reporting is manual and limited.</w:t>
      </w:r>
    </w:p>
    <w:p w14:paraId="63B84435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Business Goals/Objectives</w:t>
      </w:r>
    </w:p>
    <w:tbl>
      <w:tblPr>
        <w:tblStyle w:val="a"/>
        <w:tblW w:w="9350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  <w:tblCaption w:val="Business Goals and Objectives"/>
      </w:tblPr>
      <w:tblGrid>
        <w:gridCol w:w="1550"/>
        <w:gridCol w:w="3600"/>
        <w:gridCol w:w="4200"/>
      </w:tblGrid>
      <w:tr w:rsidR="00442AAE" w14:paraId="5264AFE1" w14:textId="77777777" w:rsidTr="00DD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shd w:val="clear" w:color="auto" w:fill="E0DDDA"/>
          </w:tcPr>
          <w:p w14:paraId="2F1D9FEA" w14:textId="77777777" w:rsidR="00442AAE" w:rsidRDefault="001350CA">
            <w:r>
              <w:t>Business Case Reference ID*</w:t>
            </w:r>
          </w:p>
        </w:tc>
        <w:tc>
          <w:tcPr>
            <w:tcW w:w="3600" w:type="dxa"/>
            <w:shd w:val="clear" w:color="auto" w:fill="E0DDDA"/>
          </w:tcPr>
          <w:p w14:paraId="1E8C94C0" w14:textId="77777777"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Goal /Objective</w:t>
            </w:r>
          </w:p>
        </w:tc>
        <w:tc>
          <w:tcPr>
            <w:tcW w:w="4200" w:type="dxa"/>
            <w:shd w:val="clear" w:color="auto" w:fill="E0DDDA"/>
          </w:tcPr>
          <w:p w14:paraId="12333AD5" w14:textId="77777777"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442AAE" w14:paraId="2265DEC5" w14:textId="77777777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BBC34E9" w14:textId="77777777" w:rsidR="00442AAE" w:rsidRDefault="001350CA">
            <w:r>
              <w:t>BC001</w:t>
            </w:r>
          </w:p>
        </w:tc>
        <w:tc>
          <w:tcPr>
            <w:tcW w:w="3600" w:type="dxa"/>
          </w:tcPr>
          <w:p w14:paraId="7E46B73E" w14:textId="77777777" w:rsidR="00442AAE" w:rsidRDefault="00B50E4A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conformity to the University’s Title IX Compliance plan for instructing and educating students about Title IX topics.</w:t>
            </w:r>
          </w:p>
        </w:tc>
        <w:tc>
          <w:tcPr>
            <w:tcW w:w="4200" w:type="dxa"/>
          </w:tcPr>
          <w:p w14:paraId="79F0B53D" w14:textId="77777777" w:rsidR="00442AAE" w:rsidRDefault="00B50E4A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CampusClarity to manage the development, maintenance and tracking of Title IX information and education.</w:t>
            </w:r>
          </w:p>
        </w:tc>
      </w:tr>
      <w:tr w:rsidR="00B50E4A" w14:paraId="02EF425C" w14:textId="77777777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91FFDEA" w14:textId="77777777" w:rsidR="00B50E4A" w:rsidRDefault="00B50E4A" w:rsidP="00B50E4A">
            <w:r>
              <w:t>BC002</w:t>
            </w:r>
          </w:p>
        </w:tc>
        <w:tc>
          <w:tcPr>
            <w:tcW w:w="3600" w:type="dxa"/>
          </w:tcPr>
          <w:p w14:paraId="1B5CC563" w14:textId="77777777" w:rsidR="00B50E4A" w:rsidRDefault="00B50E4A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for the evaluation of the success of the </w:t>
            </w:r>
            <w:r w:rsidR="00BD2094">
              <w:t>compliance plan.</w:t>
            </w:r>
          </w:p>
        </w:tc>
        <w:tc>
          <w:tcPr>
            <w:tcW w:w="4200" w:type="dxa"/>
          </w:tcPr>
          <w:p w14:paraId="510D3677" w14:textId="77777777"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reporting capability so that compliance to Federal and State Title IX mandates can be tracked and evaluated.</w:t>
            </w:r>
          </w:p>
        </w:tc>
      </w:tr>
      <w:tr w:rsidR="00B50E4A" w14:paraId="788EA2EC" w14:textId="77777777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FD16FB5" w14:textId="77777777" w:rsidR="00B50E4A" w:rsidRDefault="00B50E4A" w:rsidP="00B50E4A">
            <w:r>
              <w:t>BC003</w:t>
            </w:r>
          </w:p>
        </w:tc>
        <w:tc>
          <w:tcPr>
            <w:tcW w:w="3600" w:type="dxa"/>
          </w:tcPr>
          <w:p w14:paraId="10B733A6" w14:textId="77777777"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for Title IX compliance investigation reporting.</w:t>
            </w:r>
          </w:p>
        </w:tc>
        <w:tc>
          <w:tcPr>
            <w:tcW w:w="4200" w:type="dxa"/>
          </w:tcPr>
          <w:p w14:paraId="5F4516F5" w14:textId="77777777"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CampusClarity to provide for the retention and reporting of training fulfillment for investigation reporting.</w:t>
            </w:r>
          </w:p>
        </w:tc>
      </w:tr>
      <w:tr w:rsidR="00B50E4A" w14:paraId="3C1E1FDD" w14:textId="77777777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30D237C" w14:textId="77777777" w:rsidR="00B50E4A" w:rsidRDefault="00B50E4A" w:rsidP="00B50E4A">
            <w:r>
              <w:t>BC004</w:t>
            </w:r>
          </w:p>
        </w:tc>
        <w:tc>
          <w:tcPr>
            <w:tcW w:w="3600" w:type="dxa"/>
          </w:tcPr>
          <w:p w14:paraId="7A170750" w14:textId="77777777"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efficiencies in Title IX compliance and reporting.</w:t>
            </w:r>
          </w:p>
        </w:tc>
        <w:tc>
          <w:tcPr>
            <w:tcW w:w="4200" w:type="dxa"/>
          </w:tcPr>
          <w:p w14:paraId="60807BE6" w14:textId="77777777"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Leverage CampusClarity to replace</w:t>
            </w:r>
            <w:r w:rsidR="00F61EBD">
              <w:t xml:space="preserve"> current</w:t>
            </w:r>
            <w:r>
              <w:t xml:space="preserve"> training and manual tracking of training attendance and completion.</w:t>
            </w:r>
          </w:p>
        </w:tc>
      </w:tr>
      <w:tr w:rsidR="00B50E4A" w14:paraId="5DFC9B22" w14:textId="77777777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AB93E0B" w14:textId="77777777" w:rsidR="00B50E4A" w:rsidRDefault="00B50E4A" w:rsidP="00B50E4A">
            <w:r>
              <w:t>BC005</w:t>
            </w:r>
          </w:p>
        </w:tc>
        <w:tc>
          <w:tcPr>
            <w:tcW w:w="3600" w:type="dxa"/>
          </w:tcPr>
          <w:p w14:paraId="5F8E2740" w14:textId="77777777"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TAMUS audit recommendations</w:t>
            </w:r>
          </w:p>
        </w:tc>
        <w:tc>
          <w:tcPr>
            <w:tcW w:w="4200" w:type="dxa"/>
          </w:tcPr>
          <w:p w14:paraId="6B84BABB" w14:textId="77777777" w:rsidR="00B50E4A" w:rsidRDefault="00BD2094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CampusClarity will address the latest TAMUS audit recommendations for Title IX compliance.</w:t>
            </w:r>
          </w:p>
        </w:tc>
      </w:tr>
      <w:tr w:rsidR="00A54FD1" w14:paraId="67108F3C" w14:textId="77777777" w:rsidTr="00224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ED8434A" w14:textId="77777777" w:rsidR="00A54FD1" w:rsidRDefault="00A54FD1" w:rsidP="00B50E4A">
            <w:r>
              <w:t>BC006</w:t>
            </w:r>
          </w:p>
        </w:tc>
        <w:tc>
          <w:tcPr>
            <w:tcW w:w="3600" w:type="dxa"/>
          </w:tcPr>
          <w:p w14:paraId="099A42DB" w14:textId="77777777" w:rsidR="00A54FD1" w:rsidRDefault="00A54FD1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a bridge to Banner to set Holds for students that have not completed required training.</w:t>
            </w:r>
          </w:p>
        </w:tc>
        <w:tc>
          <w:tcPr>
            <w:tcW w:w="4200" w:type="dxa"/>
          </w:tcPr>
          <w:p w14:paraId="7E037E48" w14:textId="77777777" w:rsidR="00A54FD1" w:rsidRDefault="009C102F" w:rsidP="00F61E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a process, business and technical, for the interface between CampusClarity and Banner to effect holds for students that have not completed required training.</w:t>
            </w:r>
          </w:p>
        </w:tc>
      </w:tr>
    </w:tbl>
    <w:p w14:paraId="0153CD0A" w14:textId="77777777" w:rsidR="00442AAE" w:rsidRPr="00090AD5" w:rsidRDefault="00442AAE">
      <w:pPr>
        <w:spacing w:before="240" w:after="200" w:line="240" w:lineRule="auto"/>
        <w:rPr>
          <w:rFonts w:asciiTheme="minorHAnsi" w:hAnsiTheme="minorHAnsi"/>
        </w:rPr>
      </w:pPr>
    </w:p>
    <w:p w14:paraId="06ED9CC1" w14:textId="77777777" w:rsidR="009C102F" w:rsidRDefault="009C102F">
      <w:pPr>
        <w:rPr>
          <w:b/>
          <w:color w:val="0070C0"/>
          <w:sz w:val="28"/>
          <w:szCs w:val="28"/>
        </w:rPr>
      </w:pPr>
      <w:r>
        <w:rPr>
          <w:color w:val="0070C0"/>
        </w:rPr>
        <w:br w:type="page"/>
      </w:r>
    </w:p>
    <w:p w14:paraId="64A33A5B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lastRenderedPageBreak/>
        <w:t>Recommendation</w:t>
      </w:r>
    </w:p>
    <w:p w14:paraId="65029AC6" w14:textId="77777777" w:rsidR="00442AAE" w:rsidRPr="00E90660" w:rsidRDefault="00E90660" w:rsidP="00201E85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 w:rsidRPr="00E90660">
        <w:rPr>
          <w:rFonts w:asciiTheme="minorHAnsi" w:eastAsia="Questrial" w:hAnsiTheme="minorHAnsi" w:cs="Questrial"/>
          <w:color w:val="000000" w:themeColor="text1"/>
        </w:rPr>
        <w:t xml:space="preserve">Two alternatives </w:t>
      </w:r>
      <w:r>
        <w:rPr>
          <w:rFonts w:asciiTheme="minorHAnsi" w:eastAsia="Questrial" w:hAnsiTheme="minorHAnsi" w:cs="Questrial"/>
          <w:color w:val="000000" w:themeColor="text1"/>
        </w:rPr>
        <w:t xml:space="preserve">existed at the beginning of the </w:t>
      </w:r>
      <w:r w:rsidR="00224054">
        <w:rPr>
          <w:rFonts w:asciiTheme="minorHAnsi" w:eastAsia="Questrial" w:hAnsiTheme="minorHAnsi" w:cs="Questrial"/>
          <w:color w:val="000000" w:themeColor="text1"/>
        </w:rPr>
        <w:t>search</w:t>
      </w:r>
      <w:r>
        <w:rPr>
          <w:rFonts w:asciiTheme="minorHAnsi" w:eastAsia="Questrial" w:hAnsiTheme="minorHAnsi" w:cs="Questrial"/>
          <w:color w:val="000000" w:themeColor="text1"/>
        </w:rPr>
        <w:t>,</w:t>
      </w:r>
      <w:r w:rsidRPr="00E90660">
        <w:rPr>
          <w:rFonts w:asciiTheme="minorHAnsi" w:eastAsia="Questrial" w:hAnsiTheme="minorHAnsi" w:cs="Questrial"/>
          <w:color w:val="000000" w:themeColor="text1"/>
        </w:rPr>
        <w:t xml:space="preserve"> Haven and CampusClarity.</w:t>
      </w:r>
      <w:r w:rsidR="00224054">
        <w:rPr>
          <w:rFonts w:asciiTheme="minorHAnsi" w:eastAsia="Questrial" w:hAnsiTheme="minorHAnsi" w:cs="Questrial"/>
          <w:color w:val="000000" w:themeColor="text1"/>
        </w:rPr>
        <w:t xml:space="preserve">  Since that time, Everfi, the company that owns Haven, has acquired CampusClarity.  After reviewing both tools, </w:t>
      </w:r>
      <w:r w:rsidR="00A54FD1">
        <w:rPr>
          <w:rFonts w:asciiTheme="minorHAnsi" w:eastAsia="Questrial" w:hAnsiTheme="minorHAnsi" w:cs="Questrial"/>
          <w:color w:val="000000" w:themeColor="text1"/>
        </w:rPr>
        <w:t xml:space="preserve">the recommendation is to implement </w:t>
      </w:r>
      <w:r w:rsidR="00224054">
        <w:rPr>
          <w:rFonts w:asciiTheme="minorHAnsi" w:eastAsia="Questrial" w:hAnsiTheme="minorHAnsi" w:cs="Questrial"/>
          <w:color w:val="000000" w:themeColor="text1"/>
        </w:rPr>
        <w:t>CampusClarity</w:t>
      </w:r>
      <w:r w:rsidR="00A54FD1">
        <w:rPr>
          <w:rFonts w:asciiTheme="minorHAnsi" w:eastAsia="Questrial" w:hAnsiTheme="minorHAnsi" w:cs="Questrial"/>
          <w:color w:val="000000" w:themeColor="text1"/>
        </w:rPr>
        <w:t>.  The format, presentation, student participation in development and reporting capabilities seem to be better suited to fulfill our requirements.</w:t>
      </w:r>
    </w:p>
    <w:p w14:paraId="2FF87AB1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Justification and Impact</w:t>
      </w:r>
    </w:p>
    <w:p w14:paraId="6A87AD31" w14:textId="77777777" w:rsidR="00442AAE" w:rsidRDefault="00A54FD1" w:rsidP="00DF225E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Implementation of CampusClarity will position</w:t>
      </w:r>
      <w:r w:rsidR="00C050F3">
        <w:rPr>
          <w:rFonts w:asciiTheme="minorHAnsi" w:hAnsiTheme="minorHAnsi"/>
          <w:color w:val="000000" w:themeColor="text1"/>
        </w:rPr>
        <w:t xml:space="preserve"> the University to meet or surpass statutory requirements through the replacement of </w:t>
      </w:r>
      <w:r w:rsidR="00201E85">
        <w:rPr>
          <w:rFonts w:asciiTheme="minorHAnsi" w:hAnsiTheme="minorHAnsi"/>
          <w:color w:val="000000" w:themeColor="text1"/>
        </w:rPr>
        <w:t>current limited</w:t>
      </w:r>
      <w:r w:rsidR="00C050F3">
        <w:rPr>
          <w:rFonts w:asciiTheme="minorHAnsi" w:hAnsiTheme="minorHAnsi"/>
          <w:color w:val="000000" w:themeColor="text1"/>
        </w:rPr>
        <w:t xml:space="preserve"> training and manual reporting with </w:t>
      </w:r>
      <w:r w:rsidR="00201E85">
        <w:rPr>
          <w:rFonts w:asciiTheme="minorHAnsi" w:hAnsiTheme="minorHAnsi"/>
          <w:color w:val="000000" w:themeColor="text1"/>
        </w:rPr>
        <w:t xml:space="preserve">a more comprehensive, </w:t>
      </w:r>
      <w:r w:rsidR="00C050F3">
        <w:rPr>
          <w:rFonts w:asciiTheme="minorHAnsi" w:hAnsiTheme="minorHAnsi"/>
          <w:color w:val="000000" w:themeColor="text1"/>
        </w:rPr>
        <w:t>automated training, tracking and reporting</w:t>
      </w:r>
      <w:r w:rsidR="00201E85">
        <w:rPr>
          <w:rFonts w:asciiTheme="minorHAnsi" w:hAnsiTheme="minorHAnsi"/>
          <w:color w:val="000000" w:themeColor="text1"/>
        </w:rPr>
        <w:t xml:space="preserve"> for the entire student body</w:t>
      </w:r>
      <w:r w:rsidR="00C050F3">
        <w:rPr>
          <w:rFonts w:asciiTheme="minorHAnsi" w:hAnsiTheme="minorHAnsi"/>
          <w:color w:val="000000" w:themeColor="text1"/>
        </w:rPr>
        <w:t>.  In addition, the existence of LawRoom to evaluate and apply of Federal and State regulatory requirements to CampusClarity training, as part of the contract, provides the means to ensure ongoing compliance.</w:t>
      </w:r>
    </w:p>
    <w:p w14:paraId="720C2948" w14:textId="77777777" w:rsidR="00C050F3" w:rsidRPr="00A54FD1" w:rsidRDefault="00C050F3" w:rsidP="00201E85">
      <w:pPr>
        <w:spacing w:after="20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Anticipated savings includes the anticipated savings of 2 – 3 </w:t>
      </w:r>
      <w:r w:rsidR="00096FB9">
        <w:rPr>
          <w:rFonts w:asciiTheme="minorHAnsi" w:hAnsiTheme="minorHAnsi"/>
          <w:color w:val="000000" w:themeColor="text1"/>
        </w:rPr>
        <w:t>FTEs that</w:t>
      </w:r>
      <w:r w:rsidR="00DF225E">
        <w:rPr>
          <w:rFonts w:asciiTheme="minorHAnsi" w:hAnsiTheme="minorHAnsi"/>
          <w:color w:val="000000" w:themeColor="text1"/>
        </w:rPr>
        <w:t xml:space="preserve"> are currently providing </w:t>
      </w:r>
      <w:r w:rsidR="00DF225E">
        <w:rPr>
          <w:rFonts w:asciiTheme="minorHAnsi" w:eastAsia="Questrial" w:hAnsiTheme="minorHAnsi" w:cs="Questrial"/>
          <w:color w:val="000000" w:themeColor="text1"/>
        </w:rPr>
        <w:t xml:space="preserve">information </w:t>
      </w:r>
      <w:r w:rsidR="003F73E1">
        <w:rPr>
          <w:rFonts w:asciiTheme="minorHAnsi" w:eastAsia="Questrial" w:hAnsiTheme="minorHAnsi" w:cs="Questrial"/>
          <w:color w:val="000000" w:themeColor="text1"/>
        </w:rPr>
        <w:t>during</w:t>
      </w:r>
      <w:r w:rsidR="00DF225E" w:rsidRPr="00BD2094">
        <w:rPr>
          <w:rFonts w:asciiTheme="minorHAnsi" w:eastAsia="Questrial" w:hAnsiTheme="minorHAnsi" w:cs="Questrial"/>
          <w:color w:val="000000" w:themeColor="text1"/>
        </w:rPr>
        <w:t xml:space="preserve"> fo</w:t>
      </w:r>
      <w:r w:rsidR="00DF225E">
        <w:rPr>
          <w:rFonts w:asciiTheme="minorHAnsi" w:eastAsia="Questrial" w:hAnsiTheme="minorHAnsi" w:cs="Questrial"/>
          <w:color w:val="000000" w:themeColor="text1"/>
        </w:rPr>
        <w:t xml:space="preserve">llow on training for </w:t>
      </w:r>
      <w:r w:rsidR="00DF225E" w:rsidRPr="00BD2094">
        <w:rPr>
          <w:rFonts w:asciiTheme="minorHAnsi" w:eastAsia="Questrial" w:hAnsiTheme="minorHAnsi" w:cs="Questrial"/>
          <w:color w:val="000000" w:themeColor="text1"/>
        </w:rPr>
        <w:t xml:space="preserve">key </w:t>
      </w:r>
      <w:r w:rsidR="00DF225E">
        <w:rPr>
          <w:rFonts w:asciiTheme="minorHAnsi" w:eastAsia="Questrial" w:hAnsiTheme="minorHAnsi" w:cs="Questrial"/>
          <w:color w:val="000000" w:themeColor="text1"/>
        </w:rPr>
        <w:t xml:space="preserve">Student Leaders and select </w:t>
      </w:r>
      <w:r w:rsidR="00DF225E" w:rsidRPr="00BD2094">
        <w:rPr>
          <w:rFonts w:asciiTheme="minorHAnsi" w:eastAsia="Questrial" w:hAnsiTheme="minorHAnsi" w:cs="Questrial"/>
          <w:color w:val="000000" w:themeColor="text1"/>
        </w:rPr>
        <w:t>Campus student groups.</w:t>
      </w:r>
      <w:r w:rsidR="009C102F">
        <w:rPr>
          <w:rFonts w:asciiTheme="minorHAnsi" w:hAnsiTheme="minorHAnsi"/>
          <w:color w:val="000000" w:themeColor="text1"/>
        </w:rPr>
        <w:t xml:space="preserve">  This does NOT include the costs incurred in the development, management, reporting or retention of related training activities.  In add</w:t>
      </w:r>
      <w:r w:rsidR="00785276">
        <w:rPr>
          <w:rFonts w:asciiTheme="minorHAnsi" w:hAnsiTheme="minorHAnsi"/>
          <w:color w:val="000000" w:themeColor="text1"/>
        </w:rPr>
        <w:t xml:space="preserve">ition, </w:t>
      </w:r>
      <w:r w:rsidR="009C102F">
        <w:rPr>
          <w:rFonts w:asciiTheme="minorHAnsi" w:hAnsiTheme="minorHAnsi"/>
          <w:color w:val="000000" w:themeColor="text1"/>
        </w:rPr>
        <w:t xml:space="preserve">responding to investigations </w:t>
      </w:r>
      <w:r w:rsidR="00785276">
        <w:rPr>
          <w:rFonts w:asciiTheme="minorHAnsi" w:hAnsiTheme="minorHAnsi"/>
          <w:color w:val="000000" w:themeColor="text1"/>
        </w:rPr>
        <w:t xml:space="preserve">is difficult </w:t>
      </w:r>
      <w:r w:rsidR="009C102F">
        <w:rPr>
          <w:rFonts w:asciiTheme="minorHAnsi" w:hAnsiTheme="minorHAnsi"/>
          <w:color w:val="000000" w:themeColor="text1"/>
        </w:rPr>
        <w:t>given the m</w:t>
      </w:r>
      <w:r w:rsidR="00785276">
        <w:rPr>
          <w:rFonts w:asciiTheme="minorHAnsi" w:hAnsiTheme="minorHAnsi"/>
          <w:color w:val="000000" w:themeColor="text1"/>
        </w:rPr>
        <w:t>anual tracking of training activity and lack of automated reports.</w:t>
      </w:r>
    </w:p>
    <w:p w14:paraId="5798B25B" w14:textId="77777777" w:rsidR="00442AAE" w:rsidRPr="00637A11" w:rsidRDefault="00637A11">
      <w:pPr>
        <w:pStyle w:val="Heading4"/>
        <w:rPr>
          <w:color w:val="000000" w:themeColor="text1"/>
        </w:rPr>
      </w:pPr>
      <w:r>
        <w:rPr>
          <w:color w:val="000000" w:themeColor="text1"/>
        </w:rPr>
        <w:t>Customer</w:t>
      </w:r>
    </w:p>
    <w:p w14:paraId="17FF2900" w14:textId="77777777" w:rsidR="00442AAE" w:rsidRPr="00785276" w:rsidRDefault="00785276" w:rsidP="00BC3B0F">
      <w:pPr>
        <w:spacing w:after="200" w:line="240" w:lineRule="auto"/>
        <w:jc w:val="both"/>
        <w:rPr>
          <w:rFonts w:asciiTheme="minorHAnsi" w:hAnsiTheme="minorHAnsi"/>
          <w:color w:val="auto"/>
        </w:rPr>
      </w:pPr>
      <w:r w:rsidRPr="00785276">
        <w:rPr>
          <w:rFonts w:asciiTheme="minorHAnsi" w:eastAsia="Questrial" w:hAnsiTheme="minorHAnsi" w:cs="Questrial"/>
          <w:color w:val="auto"/>
        </w:rPr>
        <w:t>T</w:t>
      </w:r>
      <w:r>
        <w:rPr>
          <w:rFonts w:asciiTheme="minorHAnsi" w:eastAsia="Questrial" w:hAnsiTheme="minorHAnsi" w:cs="Questrial"/>
          <w:color w:val="auto"/>
        </w:rPr>
        <w:t xml:space="preserve">here are two levels of Customers: </w:t>
      </w:r>
      <w:r w:rsidR="00BC3B0F">
        <w:rPr>
          <w:rFonts w:asciiTheme="minorHAnsi" w:eastAsia="Questrial" w:hAnsiTheme="minorHAnsi" w:cs="Questrial"/>
          <w:color w:val="auto"/>
        </w:rPr>
        <w:t>The</w:t>
      </w:r>
      <w:r>
        <w:rPr>
          <w:rFonts w:asciiTheme="minorHAnsi" w:eastAsia="Questrial" w:hAnsiTheme="minorHAnsi" w:cs="Questrial"/>
          <w:color w:val="auto"/>
        </w:rPr>
        <w:t xml:space="preserve"> Texas A&amp;M University-Corpus Christi </w:t>
      </w:r>
      <w:r w:rsidR="00BC3B0F">
        <w:rPr>
          <w:rFonts w:asciiTheme="minorHAnsi" w:eastAsia="Questrial" w:hAnsiTheme="minorHAnsi" w:cs="Questrial"/>
          <w:color w:val="auto"/>
        </w:rPr>
        <w:t xml:space="preserve">Employee Development and </w:t>
      </w:r>
      <w:r>
        <w:rPr>
          <w:rFonts w:asciiTheme="minorHAnsi" w:eastAsia="Questrial" w:hAnsiTheme="minorHAnsi" w:cs="Questrial"/>
          <w:color w:val="auto"/>
        </w:rPr>
        <w:t xml:space="preserve">Compliance </w:t>
      </w:r>
      <w:r w:rsidR="00BC3B0F">
        <w:rPr>
          <w:rFonts w:asciiTheme="minorHAnsi" w:eastAsia="Questrial" w:hAnsiTheme="minorHAnsi" w:cs="Questrial"/>
          <w:color w:val="auto"/>
        </w:rPr>
        <w:t xml:space="preserve">Services </w:t>
      </w:r>
      <w:r>
        <w:rPr>
          <w:rFonts w:asciiTheme="minorHAnsi" w:eastAsia="Questrial" w:hAnsiTheme="minorHAnsi" w:cs="Questrial"/>
          <w:color w:val="auto"/>
        </w:rPr>
        <w:t>department and the students.  The former will be using the system to ensure compliance and provide information and education about specific topics.</w:t>
      </w:r>
      <w:r w:rsidR="00BC3B0F">
        <w:rPr>
          <w:rFonts w:asciiTheme="minorHAnsi" w:eastAsia="Questrial" w:hAnsiTheme="minorHAnsi" w:cs="Questrial"/>
          <w:color w:val="auto"/>
        </w:rPr>
        <w:t xml:space="preserve">  The latter will receive appropriate information and education for Title IX compliance. </w:t>
      </w:r>
    </w:p>
    <w:p w14:paraId="32D4939B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Project Manager Involvement</w:t>
      </w:r>
    </w:p>
    <w:p w14:paraId="202F7A67" w14:textId="77777777" w:rsidR="00442AAE" w:rsidRDefault="00D60CDA">
      <w:sdt>
        <w:sdtPr>
          <w:rPr>
            <w:szCs w:val="20"/>
          </w:rPr>
          <w:id w:val="-274414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Lead Project Manager (internal project manager taking overall responsibility for the project)</w:t>
      </w:r>
      <w:r w:rsidR="001350CA">
        <w:br/>
      </w:r>
      <w:sdt>
        <w:sdtPr>
          <w:rPr>
            <w:szCs w:val="20"/>
          </w:rPr>
          <w:id w:val="-213053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Oversight Project Manager (project manager providing regulatory/best practices supervision)</w:t>
      </w:r>
      <w:r w:rsidR="001350CA">
        <w:br/>
      </w:r>
      <w:sdt>
        <w:sdtPr>
          <w:rPr>
            <w:szCs w:val="20"/>
          </w:rPr>
          <w:id w:val="3588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F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Consultant Project Manager (external project manager providing professional services, i.e., vendor)</w:t>
      </w:r>
      <w:r w:rsidR="001350CA">
        <w:rPr>
          <w:i/>
          <w:sz w:val="23"/>
          <w:szCs w:val="23"/>
        </w:rPr>
        <w:br/>
      </w:r>
      <w:sdt>
        <w:sdtPr>
          <w:rPr>
            <w:szCs w:val="20"/>
          </w:rPr>
          <w:id w:val="-9882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F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D14FC">
        <w:rPr>
          <w:szCs w:val="20"/>
        </w:rPr>
        <w:t xml:space="preserve">  </w:t>
      </w:r>
      <w:r w:rsidR="001350CA">
        <w:t xml:space="preserve"> Other (explain)</w:t>
      </w:r>
    </w:p>
    <w:p w14:paraId="587773C5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Projected Project Budget and Funding Source</w:t>
      </w:r>
    </w:p>
    <w:tbl>
      <w:tblPr>
        <w:tblStyle w:val="a0"/>
        <w:tblW w:w="9560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  <w:tblCaption w:val="Projected Project Budget"/>
      </w:tblPr>
      <w:tblGrid>
        <w:gridCol w:w="2051"/>
        <w:gridCol w:w="7509"/>
      </w:tblGrid>
      <w:tr w:rsidR="00442AAE" w14:paraId="471BB92E" w14:textId="77777777" w:rsidTr="00DD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E0DDDA"/>
          </w:tcPr>
          <w:p w14:paraId="79A128CD" w14:textId="77777777" w:rsidR="00442AAE" w:rsidRDefault="001350CA">
            <w:r>
              <w:t>Estimated Amount</w:t>
            </w:r>
          </w:p>
        </w:tc>
        <w:tc>
          <w:tcPr>
            <w:tcW w:w="7509" w:type="dxa"/>
            <w:shd w:val="clear" w:color="auto" w:fill="E0DDDA"/>
          </w:tcPr>
          <w:p w14:paraId="36A73151" w14:textId="77777777"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</w:tr>
      <w:tr w:rsidR="00442AAE" w14:paraId="5DC48F4A" w14:textId="77777777" w:rsidTr="00BF32A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D9C01DD" w14:textId="77777777" w:rsidR="00442AAE" w:rsidRDefault="001350CA" w:rsidP="00BF32AC">
            <w:r>
              <w:rPr>
                <w:b w:val="0"/>
              </w:rPr>
              <w:t>$</w:t>
            </w:r>
            <w:r w:rsidR="00785276">
              <w:rPr>
                <w:b w:val="0"/>
              </w:rPr>
              <w:t>2</w:t>
            </w:r>
            <w:r w:rsidR="00BF32AC">
              <w:rPr>
                <w:b w:val="0"/>
              </w:rPr>
              <w:t>0</w:t>
            </w:r>
            <w:r w:rsidR="00785276">
              <w:rPr>
                <w:b w:val="0"/>
              </w:rPr>
              <w:t>,</w:t>
            </w:r>
            <w:r w:rsidR="00BF32AC">
              <w:rPr>
                <w:b w:val="0"/>
              </w:rPr>
              <w:t>000</w:t>
            </w:r>
          </w:p>
        </w:tc>
        <w:tc>
          <w:tcPr>
            <w:tcW w:w="7509" w:type="dxa"/>
          </w:tcPr>
          <w:p w14:paraId="35004132" w14:textId="77777777" w:rsidR="00BF32AC" w:rsidRDefault="00BF3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Funding split between </w:t>
            </w:r>
          </w:p>
          <w:p w14:paraId="65D1E0B2" w14:textId="77777777" w:rsidR="00442AAE" w:rsidRDefault="00BF32AC" w:rsidP="00BF32A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AC">
              <w:t>Equal Opportunity/Employee Relations Office</w:t>
            </w:r>
            <w:r>
              <w:t xml:space="preserve"> and</w:t>
            </w:r>
          </w:p>
          <w:p w14:paraId="3FA5FC15" w14:textId="77777777" w:rsidR="00BF32AC" w:rsidRDefault="00BF32AC" w:rsidP="00BF32A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2AC">
              <w:t>Student Engagement and Success</w:t>
            </w:r>
          </w:p>
        </w:tc>
      </w:tr>
    </w:tbl>
    <w:p w14:paraId="58B9E5AB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lastRenderedPageBreak/>
        <w:t>Assumptions</w:t>
      </w:r>
    </w:p>
    <w:p w14:paraId="6EACBE84" w14:textId="77777777" w:rsidR="007B70BE" w:rsidRDefault="007B70BE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students have sufficient knowledge and information about Title IX topics, specifically consent and incapacitation, we will see a reduction in:</w:t>
      </w:r>
    </w:p>
    <w:p w14:paraId="7415AF48" w14:textId="77777777" w:rsidR="007B70BE" w:rsidRDefault="007B70BE" w:rsidP="007B70BE">
      <w:pPr>
        <w:pStyle w:val="ListParagraph"/>
        <w:numPr>
          <w:ilvl w:val="1"/>
          <w:numId w:val="1"/>
        </w:numPr>
        <w:spacing w:after="200" w:line="240" w:lineRule="auto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number of complaints </w:t>
      </w:r>
    </w:p>
    <w:p w14:paraId="7EF25B8F" w14:textId="77777777" w:rsidR="007B70BE" w:rsidRDefault="007B70BE" w:rsidP="007B70BE">
      <w:pPr>
        <w:pStyle w:val="ListParagraph"/>
        <w:numPr>
          <w:ilvl w:val="1"/>
          <w:numId w:val="1"/>
        </w:numPr>
        <w:spacing w:after="200" w:line="240" w:lineRule="auto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Exposure of the University’s liability. </w:t>
      </w:r>
    </w:p>
    <w:p w14:paraId="32AF6746" w14:textId="77777777" w:rsidR="00785276" w:rsidRDefault="00785276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use of CampusClarity for providing Title IX information and education for students will be key in meeting or surpassing Audit recommendations for our campus.</w:t>
      </w:r>
    </w:p>
    <w:p w14:paraId="0E19B8AE" w14:textId="77777777" w:rsidR="00442AAE" w:rsidRDefault="00785276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Everfi will have sufficient Cybe</w:t>
      </w:r>
      <w:r w:rsidR="00FC33E2">
        <w:rPr>
          <w:rFonts w:asciiTheme="minorHAnsi" w:hAnsiTheme="minorHAnsi"/>
          <w:color w:val="auto"/>
        </w:rPr>
        <w:t>rsecurity measures and coverage to meet our Security requirements.</w:t>
      </w:r>
    </w:p>
    <w:p w14:paraId="0BCEB34C" w14:textId="77777777" w:rsidR="00785276" w:rsidRDefault="00FC33E2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IT support staff will be available to work </w:t>
      </w:r>
      <w:r w:rsidR="007B70BE">
        <w:rPr>
          <w:rFonts w:asciiTheme="minorHAnsi" w:hAnsiTheme="minorHAnsi"/>
          <w:color w:val="auto"/>
        </w:rPr>
        <w:t xml:space="preserve">with </w:t>
      </w:r>
      <w:r>
        <w:rPr>
          <w:rFonts w:asciiTheme="minorHAnsi" w:hAnsiTheme="minorHAnsi"/>
          <w:color w:val="auto"/>
        </w:rPr>
        <w:t>the Functional users and the Vendor to complete implementation by the requested timeframe</w:t>
      </w:r>
    </w:p>
    <w:p w14:paraId="13C1140C" w14:textId="77777777" w:rsidR="00A667EC" w:rsidRDefault="00A667EC" w:rsidP="0078527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initial Title IX training will be sent to all active Students for completion</w:t>
      </w:r>
    </w:p>
    <w:p w14:paraId="712AD4FE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Limitations/Constraints</w:t>
      </w:r>
    </w:p>
    <w:p w14:paraId="1339FCCD" w14:textId="77777777" w:rsidR="00442AAE" w:rsidRPr="00FC33E2" w:rsidRDefault="00FC33E2" w:rsidP="00785276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eastAsia="Questrial" w:hAnsiTheme="minorHAnsi" w:cs="Questrial"/>
          <w:color w:val="auto"/>
        </w:rPr>
        <w:t>Requested i</w:t>
      </w:r>
      <w:r w:rsidR="00785276" w:rsidRPr="00785276">
        <w:rPr>
          <w:rFonts w:asciiTheme="minorHAnsi" w:eastAsia="Questrial" w:hAnsiTheme="minorHAnsi" w:cs="Questrial"/>
          <w:color w:val="auto"/>
        </w:rPr>
        <w:t>mplementation late summer</w:t>
      </w:r>
      <w:r>
        <w:rPr>
          <w:rFonts w:asciiTheme="minorHAnsi" w:eastAsia="Questrial" w:hAnsiTheme="minorHAnsi" w:cs="Questrial"/>
          <w:color w:val="auto"/>
        </w:rPr>
        <w:t xml:space="preserve"> 2017</w:t>
      </w:r>
      <w:r w:rsidR="00785276" w:rsidRPr="00785276">
        <w:rPr>
          <w:rFonts w:asciiTheme="minorHAnsi" w:eastAsia="Questrial" w:hAnsiTheme="minorHAnsi" w:cs="Questrial"/>
          <w:color w:val="auto"/>
        </w:rPr>
        <w:t xml:space="preserve"> </w:t>
      </w:r>
      <w:r>
        <w:rPr>
          <w:rFonts w:asciiTheme="minorHAnsi" w:eastAsia="Questrial" w:hAnsiTheme="minorHAnsi" w:cs="Questrial"/>
          <w:color w:val="auto"/>
        </w:rPr>
        <w:t>or sooner, preferably b</w:t>
      </w:r>
      <w:r w:rsidR="00D43F4C">
        <w:rPr>
          <w:rFonts w:asciiTheme="minorHAnsi" w:eastAsia="Questrial" w:hAnsiTheme="minorHAnsi" w:cs="Questrial"/>
          <w:color w:val="auto"/>
        </w:rPr>
        <w:t>efore students arrive on campus for the Fall 2</w:t>
      </w:r>
      <w:r w:rsidR="00DB3B04">
        <w:rPr>
          <w:rFonts w:asciiTheme="minorHAnsi" w:eastAsia="Questrial" w:hAnsiTheme="minorHAnsi" w:cs="Questrial"/>
          <w:color w:val="auto"/>
        </w:rPr>
        <w:t>017</w:t>
      </w:r>
      <w:r w:rsidR="00D43F4C">
        <w:rPr>
          <w:rFonts w:asciiTheme="minorHAnsi" w:eastAsia="Questrial" w:hAnsiTheme="minorHAnsi" w:cs="Questrial"/>
          <w:color w:val="auto"/>
        </w:rPr>
        <w:t xml:space="preserve"> semester</w:t>
      </w:r>
    </w:p>
    <w:p w14:paraId="32A406EF" w14:textId="77777777" w:rsidR="00CC28EE" w:rsidRDefault="00FC33E2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funding source for this project will need to be defined</w:t>
      </w:r>
    </w:p>
    <w:p w14:paraId="59AADD15" w14:textId="77777777" w:rsidR="00CC28EE" w:rsidRDefault="00CC28EE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 process </w:t>
      </w:r>
      <w:r w:rsidRPr="00CC28EE">
        <w:rPr>
          <w:rFonts w:asciiTheme="minorHAnsi" w:hAnsiTheme="minorHAnsi"/>
          <w:color w:val="auto"/>
        </w:rPr>
        <w:t>need</w:t>
      </w:r>
      <w:r>
        <w:rPr>
          <w:rFonts w:asciiTheme="minorHAnsi" w:hAnsiTheme="minorHAnsi"/>
          <w:color w:val="auto"/>
        </w:rPr>
        <w:t>s</w:t>
      </w:r>
      <w:r w:rsidRPr="00CC28EE">
        <w:rPr>
          <w:rFonts w:asciiTheme="minorHAnsi" w:hAnsiTheme="minorHAnsi"/>
          <w:color w:val="auto"/>
        </w:rPr>
        <w:t xml:space="preserve"> to be put in place</w:t>
      </w:r>
      <w:r>
        <w:rPr>
          <w:rFonts w:asciiTheme="minorHAnsi" w:hAnsiTheme="minorHAnsi"/>
          <w:color w:val="auto"/>
        </w:rPr>
        <w:t xml:space="preserve"> to identify the student populations for each course identified</w:t>
      </w:r>
    </w:p>
    <w:p w14:paraId="0AF05BCE" w14:textId="77777777" w:rsidR="00CC28EE" w:rsidRDefault="00CC28EE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 process needs to be identified and approved by Banner Governance to place a registration hold for students that have n</w:t>
      </w:r>
      <w:r w:rsidR="00A667EC">
        <w:rPr>
          <w:rFonts w:asciiTheme="minorHAnsi" w:hAnsiTheme="minorHAnsi"/>
          <w:color w:val="auto"/>
        </w:rPr>
        <w:t>ot completed mandatory training</w:t>
      </w:r>
    </w:p>
    <w:p w14:paraId="41FE93E6" w14:textId="77777777" w:rsidR="00A667EC" w:rsidRDefault="00D0713A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logic behind how to define </w:t>
      </w:r>
      <w:r w:rsidR="00BA00AD">
        <w:rPr>
          <w:rFonts w:asciiTheme="minorHAnsi" w:hAnsiTheme="minorHAnsi"/>
          <w:color w:val="auto"/>
        </w:rPr>
        <w:t xml:space="preserve">the </w:t>
      </w:r>
      <w:r>
        <w:rPr>
          <w:rFonts w:asciiTheme="minorHAnsi" w:hAnsiTheme="minorHAnsi"/>
          <w:color w:val="auto"/>
        </w:rPr>
        <w:t>group</w:t>
      </w:r>
      <w:r w:rsidR="00BA00AD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 of students</w:t>
      </w:r>
      <w:r w:rsidR="00BA00AD">
        <w:rPr>
          <w:rFonts w:asciiTheme="minorHAnsi" w:hAnsiTheme="minorHAnsi"/>
          <w:color w:val="auto"/>
        </w:rPr>
        <w:t xml:space="preserve"> and corresponding courses to be taken</w:t>
      </w:r>
      <w:r>
        <w:rPr>
          <w:rFonts w:asciiTheme="minorHAnsi" w:hAnsiTheme="minorHAnsi"/>
          <w:color w:val="auto"/>
        </w:rPr>
        <w:t xml:space="preserve"> </w:t>
      </w:r>
      <w:r w:rsidR="00BA00AD">
        <w:rPr>
          <w:rFonts w:asciiTheme="minorHAnsi" w:hAnsiTheme="minorHAnsi"/>
          <w:color w:val="auto"/>
        </w:rPr>
        <w:t>will need to be defined</w:t>
      </w:r>
    </w:p>
    <w:p w14:paraId="5E7CC2E2" w14:textId="77777777" w:rsidR="00A667EC" w:rsidRPr="00CC28EE" w:rsidRDefault="00BA00AD" w:rsidP="00CC28E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timing for when training must be completed will need to be defined </w:t>
      </w:r>
      <w:r>
        <w:rPr>
          <w:rFonts w:asciiTheme="minorHAnsi" w:hAnsiTheme="minorHAnsi"/>
          <w:i/>
          <w:color w:val="auto"/>
        </w:rPr>
        <w:t>(Is this defined in the policies/regulations or should it be a certain amount of time prior to registration opening for the subsequent semester?)</w:t>
      </w:r>
    </w:p>
    <w:p w14:paraId="734D3A41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Risks</w:t>
      </w:r>
    </w:p>
    <w:p w14:paraId="74C0CDDD" w14:textId="77777777" w:rsidR="00442AAE" w:rsidRDefault="00785276" w:rsidP="00FC33E2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 w:rsidRPr="00FC33E2">
        <w:rPr>
          <w:rFonts w:asciiTheme="minorHAnsi" w:hAnsiTheme="minorHAnsi"/>
          <w:color w:val="auto"/>
        </w:rPr>
        <w:t>If we</w:t>
      </w:r>
      <w:r w:rsidR="00FC33E2">
        <w:rPr>
          <w:rFonts w:asciiTheme="minorHAnsi" w:hAnsiTheme="minorHAnsi"/>
          <w:color w:val="auto"/>
        </w:rPr>
        <w:t xml:space="preserve"> are unable to automate setting holds for students that have not completed training within the required timeframe, a manual process will be need to be approved by the Ban</w:t>
      </w:r>
      <w:r w:rsidR="00DB3B04">
        <w:rPr>
          <w:rFonts w:asciiTheme="minorHAnsi" w:hAnsiTheme="minorHAnsi"/>
          <w:color w:val="auto"/>
        </w:rPr>
        <w:t>ner Data Owner and put in place</w:t>
      </w:r>
    </w:p>
    <w:p w14:paraId="23A69A09" w14:textId="77777777" w:rsidR="00FC33E2" w:rsidRDefault="00FC33E2" w:rsidP="00FC33E2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IT staff is unable to work on this implementation, the implementation date</w:t>
      </w:r>
      <w:r w:rsidR="0015790D">
        <w:rPr>
          <w:rFonts w:asciiTheme="minorHAnsi" w:hAnsiTheme="minorHAnsi"/>
          <w:color w:val="auto"/>
        </w:rPr>
        <w:t xml:space="preserve"> may be delayed</w:t>
      </w:r>
    </w:p>
    <w:p w14:paraId="497023C2" w14:textId="77777777" w:rsidR="00FC33E2" w:rsidRDefault="00FC33E2" w:rsidP="00FC33E2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Everfi is unable to satisfy all Security requirements, we might have to choos</w:t>
      </w:r>
      <w:r w:rsidR="00DB3B04">
        <w:rPr>
          <w:rFonts w:asciiTheme="minorHAnsi" w:hAnsiTheme="minorHAnsi"/>
          <w:color w:val="auto"/>
        </w:rPr>
        <w:t>e another product and/or Vendor</w:t>
      </w:r>
    </w:p>
    <w:p w14:paraId="6E18B72B" w14:textId="77777777" w:rsidR="00090AD5" w:rsidRPr="00FF5A23" w:rsidRDefault="00DB3B04" w:rsidP="00FF5A23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we are unable to implement prior to Fall 2017 semester, we will need to continue the current program until the implementation can be completed</w:t>
      </w:r>
      <w:r w:rsidR="00090AD5">
        <w:br w:type="page"/>
      </w:r>
    </w:p>
    <w:p w14:paraId="4537E9D4" w14:textId="77777777" w:rsidR="00442AAE" w:rsidRPr="00637A11" w:rsidRDefault="001350CA">
      <w:pPr>
        <w:pStyle w:val="Heading3"/>
        <w:rPr>
          <w:color w:val="000000" w:themeColor="text1"/>
        </w:rPr>
      </w:pPr>
      <w:r w:rsidRPr="00637A11">
        <w:rPr>
          <w:color w:val="000000" w:themeColor="text1"/>
        </w:rPr>
        <w:lastRenderedPageBreak/>
        <w:t>Section 2. Project Evaluation</w:t>
      </w:r>
    </w:p>
    <w:p w14:paraId="0D123193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Strategic Alignment</w:t>
      </w:r>
    </w:p>
    <w:tbl>
      <w:tblPr>
        <w:tblStyle w:val="a1"/>
        <w:tblW w:w="9600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  <w:tblCaption w:val="Strategic Alignment"/>
      </w:tblPr>
      <w:tblGrid>
        <w:gridCol w:w="1435"/>
        <w:gridCol w:w="2101"/>
        <w:gridCol w:w="4749"/>
        <w:gridCol w:w="1315"/>
      </w:tblGrid>
      <w:tr w:rsidR="00442AAE" w14:paraId="197BD595" w14:textId="77777777" w:rsidTr="00DD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0DDDA"/>
            <w:vAlign w:val="bottom"/>
          </w:tcPr>
          <w:p w14:paraId="0E0499CA" w14:textId="77777777" w:rsidR="00442AAE" w:rsidRDefault="001350CA">
            <w:r>
              <w:t>Category</w:t>
            </w:r>
          </w:p>
        </w:tc>
        <w:tc>
          <w:tcPr>
            <w:tcW w:w="2101" w:type="dxa"/>
            <w:shd w:val="clear" w:color="auto" w:fill="E0DDDA"/>
            <w:vAlign w:val="bottom"/>
          </w:tcPr>
          <w:p w14:paraId="618C9580" w14:textId="77777777"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Criterion</w:t>
            </w:r>
          </w:p>
        </w:tc>
        <w:tc>
          <w:tcPr>
            <w:tcW w:w="4749" w:type="dxa"/>
            <w:shd w:val="clear" w:color="auto" w:fill="E0DDDA"/>
            <w:vAlign w:val="bottom"/>
          </w:tcPr>
          <w:p w14:paraId="69503566" w14:textId="77777777"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315" w:type="dxa"/>
            <w:shd w:val="clear" w:color="auto" w:fill="E0DDDA"/>
            <w:vAlign w:val="bottom"/>
          </w:tcPr>
          <w:p w14:paraId="451D8B75" w14:textId="77777777" w:rsidR="00442AAE" w:rsidRDefault="00135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Check Box if Yes</w:t>
            </w:r>
          </w:p>
        </w:tc>
      </w:tr>
      <w:tr w:rsidR="00442AAE" w14:paraId="09A12B51" w14:textId="77777777" w:rsidTr="0044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3EBD72F2" w14:textId="77777777" w:rsidR="00442AAE" w:rsidRDefault="001350CA">
            <w:r>
              <w:t>Strategic Alignment</w:t>
            </w:r>
          </w:p>
        </w:tc>
        <w:tc>
          <w:tcPr>
            <w:tcW w:w="2101" w:type="dxa"/>
            <w:vAlign w:val="center"/>
          </w:tcPr>
          <w:p w14:paraId="04EF8223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System Alignment</w:t>
            </w:r>
          </w:p>
        </w:tc>
        <w:tc>
          <w:tcPr>
            <w:tcW w:w="4749" w:type="dxa"/>
            <w:vAlign w:val="center"/>
          </w:tcPr>
          <w:p w14:paraId="7360327B" w14:textId="77777777" w:rsidR="00442AAE" w:rsidRPr="00FC33E2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Project meets or supports a Texas A&amp;M System strategic goal, initiative or directive</w:t>
            </w:r>
            <w:r>
              <w:rPr>
                <w:b/>
              </w:rPr>
              <w:t>. If yes, indicate the goal, initiative or directive here:</w:t>
            </w:r>
            <w:r w:rsidR="00FC33E2">
              <w:rPr>
                <w:b/>
              </w:rPr>
              <w:t xml:space="preserve">  </w:t>
            </w:r>
            <w:r w:rsidR="00FC33E2" w:rsidRPr="00637A11">
              <w:rPr>
                <w:b/>
                <w:i/>
                <w:color w:val="3B66C5"/>
              </w:rPr>
              <w:t>TAMUS Audit Recommendations for Title IX training</w:t>
            </w:r>
          </w:p>
        </w:tc>
        <w:tc>
          <w:tcPr>
            <w:tcW w:w="1315" w:type="dxa"/>
            <w:vAlign w:val="center"/>
          </w:tcPr>
          <w:p w14:paraId="4C7D9A9C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-274868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14:paraId="21E82FC8" w14:textId="77777777" w:rsidTr="0044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07077156" w14:textId="77777777" w:rsidR="00442AAE" w:rsidRDefault="00442AAE"/>
        </w:tc>
        <w:tc>
          <w:tcPr>
            <w:tcW w:w="2101" w:type="dxa"/>
            <w:vAlign w:val="center"/>
          </w:tcPr>
          <w:p w14:paraId="4393987B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Institution or Agency Alignment</w:t>
            </w:r>
          </w:p>
        </w:tc>
        <w:tc>
          <w:tcPr>
            <w:tcW w:w="4749" w:type="dxa"/>
            <w:vAlign w:val="center"/>
          </w:tcPr>
          <w:p w14:paraId="104D6EEB" w14:textId="77777777" w:rsidR="00442AAE" w:rsidRDefault="001350CA" w:rsidP="00FC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meets or supports an institution and/or agency goal. </w:t>
            </w:r>
            <w:r>
              <w:rPr>
                <w:b/>
              </w:rPr>
              <w:t>If yes, indicate the goal, initiative or directive here:</w:t>
            </w:r>
            <w:r w:rsidR="00FC33E2">
              <w:rPr>
                <w:b/>
              </w:rPr>
              <w:t xml:space="preserve"> </w:t>
            </w:r>
            <w:r w:rsidR="00FC33E2" w:rsidRPr="00637A11">
              <w:rPr>
                <w:b/>
                <w:i/>
                <w:color w:val="3B66C5"/>
              </w:rPr>
              <w:t>Compliance plan to satisfy TAMUS</w:t>
            </w:r>
            <w:r w:rsidR="00FC33E2" w:rsidRPr="00637A11">
              <w:rPr>
                <w:color w:val="3B66C5"/>
              </w:rPr>
              <w:t xml:space="preserve"> </w:t>
            </w:r>
            <w:r w:rsidR="00FC33E2" w:rsidRPr="00637A11">
              <w:rPr>
                <w:b/>
                <w:i/>
                <w:color w:val="3B66C5"/>
              </w:rPr>
              <w:t>Audit Recommendations</w:t>
            </w:r>
            <w:r w:rsidR="00FC33E2" w:rsidRPr="00637A11">
              <w:rPr>
                <w:color w:val="3B66C5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05A4E4BF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918293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14:paraId="6C943556" w14:textId="77777777" w:rsidTr="0044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14:paraId="637DCE91" w14:textId="77777777" w:rsidR="00442AAE" w:rsidRDefault="001350CA">
            <w:r>
              <w:t>Compliance</w:t>
            </w:r>
          </w:p>
        </w:tc>
        <w:tc>
          <w:tcPr>
            <w:tcW w:w="2101" w:type="dxa"/>
            <w:vAlign w:val="center"/>
          </w:tcPr>
          <w:p w14:paraId="6C6A7261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 xml:space="preserve">Legislative </w:t>
            </w:r>
          </w:p>
        </w:tc>
        <w:tc>
          <w:tcPr>
            <w:tcW w:w="4749" w:type="dxa"/>
            <w:vAlign w:val="center"/>
          </w:tcPr>
          <w:p w14:paraId="4AB2EE0C" w14:textId="77777777" w:rsidR="00442AAE" w:rsidRPr="00FC33E2" w:rsidRDefault="001350CA" w:rsidP="00FC3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State/federal requirements; new legislation. </w:t>
            </w:r>
            <w:r>
              <w:rPr>
                <w:b/>
              </w:rPr>
              <w:t>If yes, provide the mandate related to the project and the statutory citation here:</w:t>
            </w:r>
            <w:r>
              <w:t xml:space="preserve"> </w:t>
            </w:r>
          </w:p>
        </w:tc>
        <w:tc>
          <w:tcPr>
            <w:tcW w:w="1315" w:type="dxa"/>
            <w:vAlign w:val="center"/>
          </w:tcPr>
          <w:p w14:paraId="4D63111C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461781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14:paraId="67367E08" w14:textId="77777777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14:paraId="0CCF201A" w14:textId="77777777" w:rsidR="00442AAE" w:rsidRDefault="00442AAE"/>
        </w:tc>
        <w:tc>
          <w:tcPr>
            <w:tcW w:w="2101" w:type="dxa"/>
            <w:vAlign w:val="center"/>
          </w:tcPr>
          <w:p w14:paraId="010F42AA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System Policy</w:t>
            </w:r>
          </w:p>
        </w:tc>
        <w:tc>
          <w:tcPr>
            <w:tcW w:w="4749" w:type="dxa"/>
            <w:vAlign w:val="center"/>
          </w:tcPr>
          <w:p w14:paraId="417D3698" w14:textId="77777777"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Texas A&amp;M System requirements; new policy. </w:t>
            </w:r>
            <w:r>
              <w:rPr>
                <w:b/>
              </w:rPr>
              <w:t>If yes, provide the mandate related to the project and the policy citation here:</w:t>
            </w:r>
          </w:p>
        </w:tc>
        <w:tc>
          <w:tcPr>
            <w:tcW w:w="1315" w:type="dxa"/>
            <w:vAlign w:val="center"/>
          </w:tcPr>
          <w:p w14:paraId="7BA43FF4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1331716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14:paraId="799C369D" w14:textId="77777777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14:paraId="308DE5A1" w14:textId="77777777" w:rsidR="00442AAE" w:rsidRDefault="00442AAE"/>
        </w:tc>
        <w:tc>
          <w:tcPr>
            <w:tcW w:w="2101" w:type="dxa"/>
            <w:vAlign w:val="center"/>
          </w:tcPr>
          <w:p w14:paraId="4EAF1A78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Member Rule or Procedure</w:t>
            </w:r>
          </w:p>
        </w:tc>
        <w:tc>
          <w:tcPr>
            <w:tcW w:w="4749" w:type="dxa"/>
            <w:vAlign w:val="center"/>
          </w:tcPr>
          <w:p w14:paraId="2E97444A" w14:textId="77777777"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Institution/agency requirements; new rule or procedure. </w:t>
            </w:r>
            <w:r>
              <w:rPr>
                <w:b/>
              </w:rPr>
              <w:t>If yes, provide the mandate related to the project and the rule or procedure citation here:</w:t>
            </w:r>
          </w:p>
        </w:tc>
        <w:tc>
          <w:tcPr>
            <w:tcW w:w="1315" w:type="dxa"/>
            <w:vAlign w:val="center"/>
          </w:tcPr>
          <w:p w14:paraId="7C23846D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-1355037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14:paraId="01885D14" w14:textId="77777777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14:paraId="78E83053" w14:textId="77777777" w:rsidR="00442AAE" w:rsidRDefault="001350CA">
            <w:r>
              <w:t>Risk Remediation</w:t>
            </w:r>
          </w:p>
        </w:tc>
        <w:tc>
          <w:tcPr>
            <w:tcW w:w="2101" w:type="dxa"/>
            <w:vAlign w:val="center"/>
          </w:tcPr>
          <w:p w14:paraId="7E92D3C3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Security</w:t>
            </w:r>
          </w:p>
        </w:tc>
        <w:tc>
          <w:tcPr>
            <w:tcW w:w="4749" w:type="dxa"/>
            <w:vAlign w:val="center"/>
          </w:tcPr>
          <w:p w14:paraId="61D2EA88" w14:textId="77777777"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Remediate security risk/issue.</w:t>
            </w:r>
          </w:p>
        </w:tc>
        <w:tc>
          <w:tcPr>
            <w:tcW w:w="1315" w:type="dxa"/>
            <w:vAlign w:val="center"/>
          </w:tcPr>
          <w:p w14:paraId="737C45A2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-3785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A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14:paraId="38DE3CB5" w14:textId="77777777" w:rsidTr="00442A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14:paraId="67677A3E" w14:textId="77777777" w:rsidR="00442AAE" w:rsidRDefault="00442AAE"/>
        </w:tc>
        <w:tc>
          <w:tcPr>
            <w:tcW w:w="2101" w:type="dxa"/>
            <w:vAlign w:val="center"/>
          </w:tcPr>
          <w:p w14:paraId="07C97C49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Audit</w:t>
            </w:r>
          </w:p>
        </w:tc>
        <w:tc>
          <w:tcPr>
            <w:tcW w:w="4749" w:type="dxa"/>
            <w:vAlign w:val="center"/>
          </w:tcPr>
          <w:p w14:paraId="57B1C0B4" w14:textId="77777777"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Remediate audit findings.</w:t>
            </w:r>
          </w:p>
        </w:tc>
        <w:tc>
          <w:tcPr>
            <w:tcW w:w="1315" w:type="dxa"/>
            <w:vAlign w:val="center"/>
          </w:tcPr>
          <w:p w14:paraId="593A9E78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316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A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  <w:tr w:rsidR="00442AAE" w14:paraId="19FAF02E" w14:textId="77777777" w:rsidTr="00442AA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14:paraId="40CBC0CC" w14:textId="77777777" w:rsidR="00442AAE" w:rsidRDefault="00442AAE"/>
        </w:tc>
        <w:tc>
          <w:tcPr>
            <w:tcW w:w="2101" w:type="dxa"/>
            <w:vAlign w:val="center"/>
          </w:tcPr>
          <w:p w14:paraId="63B0322A" w14:textId="77777777" w:rsidR="00442AAE" w:rsidRPr="00090AD5" w:rsidRDefault="001350C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90AD5">
              <w:rPr>
                <w:rFonts w:asciiTheme="minorHAnsi" w:eastAsia="Questrial" w:hAnsiTheme="minorHAnsi" w:cs="Questrial"/>
                <w:i/>
              </w:rPr>
              <w:t>Technology</w:t>
            </w:r>
          </w:p>
        </w:tc>
        <w:tc>
          <w:tcPr>
            <w:tcW w:w="4749" w:type="dxa"/>
            <w:vAlign w:val="center"/>
          </w:tcPr>
          <w:p w14:paraId="79817036" w14:textId="77777777" w:rsidR="00442AAE" w:rsidRDefault="00135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Replacing aged technology</w:t>
            </w:r>
          </w:p>
        </w:tc>
        <w:tc>
          <w:tcPr>
            <w:tcW w:w="1315" w:type="dxa"/>
            <w:vAlign w:val="center"/>
          </w:tcPr>
          <w:p w14:paraId="75BACA97" w14:textId="77777777" w:rsidR="00442AAE" w:rsidRDefault="00D6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81768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A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47A95">
              <w:rPr>
                <w:szCs w:val="20"/>
              </w:rPr>
              <w:t xml:space="preserve">  </w:t>
            </w:r>
          </w:p>
        </w:tc>
      </w:tr>
    </w:tbl>
    <w:p w14:paraId="4ADCC8C9" w14:textId="77777777" w:rsidR="00442AAE" w:rsidRPr="00637A11" w:rsidRDefault="001350C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Business Value</w:t>
      </w:r>
    </w:p>
    <w:p w14:paraId="130FAA14" w14:textId="77777777" w:rsidR="00442AAE" w:rsidRDefault="002D7576">
      <w:pPr>
        <w:spacing w:after="200" w:line="240" w:lineRule="auto"/>
        <w:rPr>
          <w:rFonts w:asciiTheme="minorHAnsi" w:eastAsia="Questrial" w:hAnsiTheme="minorHAnsi" w:cs="Questrial"/>
          <w:color w:val="000000" w:themeColor="text1"/>
        </w:rPr>
      </w:pPr>
      <w:r w:rsidRPr="002D7576">
        <w:rPr>
          <w:rFonts w:asciiTheme="minorHAnsi" w:eastAsia="Questrial" w:hAnsiTheme="minorHAnsi" w:cs="Questrial"/>
          <w:color w:val="000000" w:themeColor="text1"/>
        </w:rPr>
        <w:t xml:space="preserve">Implementation </w:t>
      </w:r>
      <w:r>
        <w:rPr>
          <w:rFonts w:asciiTheme="minorHAnsi" w:eastAsia="Questrial" w:hAnsiTheme="minorHAnsi" w:cs="Questrial"/>
          <w:color w:val="000000" w:themeColor="text1"/>
        </w:rPr>
        <w:t>of CampusClarity at Texas A&amp;M University-Corpus Christi would provide for the following:</w:t>
      </w:r>
    </w:p>
    <w:p w14:paraId="5AFC79AF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Replacement of the manual training and tracking with an automated system</w:t>
      </w:r>
    </w:p>
    <w:p w14:paraId="22D52629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Implementation of automated tracking and reporting functionality</w:t>
      </w:r>
    </w:p>
    <w:p w14:paraId="6625C8D6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Ability to have a system and process that surpass current Statutory and System requirements</w:t>
      </w:r>
    </w:p>
    <w:p w14:paraId="5296A0B1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Mitigation of the Risk of noncompliance by leveraging a tool that is developed, maintained and updated by Legal experts in the area of Title IX compliance for Higher Education</w:t>
      </w:r>
    </w:p>
    <w:p w14:paraId="779F962A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Improved ability to provide supporting documentation for investigations</w:t>
      </w:r>
    </w:p>
    <w:p w14:paraId="4050D0BA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Consistent training for all students </w:t>
      </w:r>
    </w:p>
    <w:p w14:paraId="776458FE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Ability to have students repeat the training without the need to schedule someone to provide the training</w:t>
      </w:r>
    </w:p>
    <w:p w14:paraId="5FB6F7EA" w14:textId="77777777" w:rsidR="002D7576" w:rsidRDefault="002D7576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Use of current technology that is specifically </w:t>
      </w:r>
      <w:r w:rsidR="00DC4CAE">
        <w:rPr>
          <w:rFonts w:asciiTheme="minorHAnsi" w:hAnsiTheme="minorHAnsi"/>
          <w:color w:val="000000" w:themeColor="text1"/>
        </w:rPr>
        <w:t>geared for students</w:t>
      </w:r>
    </w:p>
    <w:p w14:paraId="0951BEBA" w14:textId="77777777" w:rsidR="000D7E53" w:rsidRDefault="000D7E53" w:rsidP="002D7576">
      <w:pPr>
        <w:pStyle w:val="ListParagraph"/>
        <w:numPr>
          <w:ilvl w:val="0"/>
          <w:numId w:val="4"/>
        </w:num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Cost to implement this solution</w:t>
      </w:r>
      <w:r w:rsidR="00BF32AC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="005E2DCC">
        <w:rPr>
          <w:rFonts w:asciiTheme="minorHAnsi" w:hAnsiTheme="minorHAnsi"/>
          <w:color w:val="000000" w:themeColor="text1"/>
        </w:rPr>
        <w:t>per student</w:t>
      </w:r>
      <w:r w:rsidR="00BF32AC">
        <w:rPr>
          <w:rFonts w:asciiTheme="minorHAnsi" w:hAnsiTheme="minorHAnsi"/>
          <w:color w:val="000000" w:themeColor="text1"/>
        </w:rPr>
        <w:t>, is minimal</w:t>
      </w:r>
    </w:p>
    <w:p w14:paraId="200E9C92" w14:textId="77777777" w:rsidR="002D7576" w:rsidRPr="002D7576" w:rsidRDefault="002D7576" w:rsidP="002D7576">
      <w:pPr>
        <w:spacing w:after="20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Not implementing this solution could result in a continued risk of noncompliance or under compliance and the need to sustain sufficient resources, to develop, manage and upgrade</w:t>
      </w:r>
      <w:r w:rsidR="00DC4CAE">
        <w:rPr>
          <w:rFonts w:asciiTheme="minorHAnsi" w:hAnsiTheme="minorHAnsi"/>
          <w:color w:val="000000" w:themeColor="text1"/>
        </w:rPr>
        <w:t xml:space="preserve"> the manual processes just to be minimally compliant.  Investigative efforts will continue to be cumbersome. </w:t>
      </w:r>
    </w:p>
    <w:p w14:paraId="6B994CF3" w14:textId="77777777" w:rsidR="00442AAE" w:rsidRPr="00637A11" w:rsidRDefault="00727DBC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Business</w:t>
      </w:r>
      <w:r w:rsidR="001350CA" w:rsidRPr="00637A11">
        <w:rPr>
          <w:color w:val="000000" w:themeColor="text1"/>
        </w:rPr>
        <w:t xml:space="preserve"> Priority</w:t>
      </w:r>
    </w:p>
    <w:p w14:paraId="732A0427" w14:textId="77777777" w:rsidR="00442AAE" w:rsidRDefault="00D60CDA">
      <w:pPr>
        <w:spacing w:after="0"/>
      </w:pPr>
      <w:sdt>
        <w:sdtPr>
          <w:rPr>
            <w:szCs w:val="20"/>
          </w:rPr>
          <w:id w:val="-1769140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1350CA">
        <w:t xml:space="preserve"> High</w:t>
      </w:r>
    </w:p>
    <w:p w14:paraId="2DEE525E" w14:textId="77777777" w:rsidR="00442AAE" w:rsidRDefault="00D60CDA">
      <w:pPr>
        <w:spacing w:after="0"/>
      </w:pPr>
      <w:sdt>
        <w:sdtPr>
          <w:rPr>
            <w:szCs w:val="20"/>
          </w:rPr>
          <w:id w:val="-144029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350CA">
        <w:rPr>
          <w:sz w:val="24"/>
          <w:szCs w:val="24"/>
        </w:rPr>
        <w:t xml:space="preserve"> </w:t>
      </w:r>
      <w:r w:rsidR="001350CA">
        <w:t xml:space="preserve">Medium </w:t>
      </w:r>
    </w:p>
    <w:p w14:paraId="2ADA9FEA" w14:textId="77777777" w:rsidR="00442AAE" w:rsidRDefault="00D60CDA">
      <w:sdt>
        <w:sdtPr>
          <w:rPr>
            <w:szCs w:val="20"/>
          </w:rPr>
          <w:id w:val="31160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350CA">
        <w:t xml:space="preserve"> Low</w:t>
      </w:r>
    </w:p>
    <w:p w14:paraId="20359D97" w14:textId="77777777" w:rsidR="00B219EA" w:rsidRPr="00637A11" w:rsidRDefault="00B219EA" w:rsidP="00B219EA">
      <w:pPr>
        <w:pStyle w:val="Heading4"/>
        <w:rPr>
          <w:color w:val="000000" w:themeColor="text1"/>
        </w:rPr>
      </w:pPr>
      <w:r w:rsidRPr="00637A11">
        <w:rPr>
          <w:color w:val="000000" w:themeColor="text1"/>
        </w:rPr>
        <w:t>Decision</w:t>
      </w:r>
    </w:p>
    <w:p w14:paraId="43EB6B91" w14:textId="77777777" w:rsidR="00B219EA" w:rsidRDefault="00D60CDA" w:rsidP="00B219EA">
      <w:pPr>
        <w:spacing w:after="0"/>
      </w:pPr>
      <w:sdt>
        <w:sdtPr>
          <w:rPr>
            <w:szCs w:val="20"/>
          </w:rPr>
          <w:id w:val="-1787881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2AC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B219EA">
        <w:t xml:space="preserve"> Approved to proceed</w:t>
      </w:r>
    </w:p>
    <w:p w14:paraId="398A7EFB" w14:textId="77777777" w:rsidR="00B219EA" w:rsidRDefault="00D60CDA" w:rsidP="00B219EA">
      <w:pPr>
        <w:spacing w:after="0"/>
      </w:pPr>
      <w:sdt>
        <w:sdtPr>
          <w:rPr>
            <w:szCs w:val="20"/>
          </w:rPr>
          <w:id w:val="-4473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19EA">
        <w:rPr>
          <w:sz w:val="24"/>
          <w:szCs w:val="24"/>
        </w:rPr>
        <w:t xml:space="preserve"> </w:t>
      </w:r>
      <w:r w:rsidR="00B219EA">
        <w:t xml:space="preserve">Deferred </w:t>
      </w:r>
    </w:p>
    <w:p w14:paraId="11362CD7" w14:textId="77777777" w:rsidR="00B219EA" w:rsidRDefault="00D60CDA" w:rsidP="00B219EA">
      <w:sdt>
        <w:sdtPr>
          <w:rPr>
            <w:szCs w:val="20"/>
          </w:rPr>
          <w:id w:val="-122251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F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219EA">
        <w:t xml:space="preserve"> Rejected</w:t>
      </w:r>
    </w:p>
    <w:p w14:paraId="6662FCC9" w14:textId="77777777" w:rsidR="00B219EA" w:rsidRPr="00637A11" w:rsidRDefault="00BF32AC">
      <w:pPr>
        <w:rPr>
          <w:i/>
          <w:color w:val="000000" w:themeColor="text1"/>
        </w:rPr>
      </w:pPr>
      <w:r w:rsidRPr="00637A11">
        <w:rPr>
          <w:i/>
          <w:color w:val="000000" w:themeColor="text1"/>
        </w:rPr>
        <w:t xml:space="preserve">This project is approved. The use of current technology to replace a manual, </w:t>
      </w:r>
      <w:r w:rsidR="00096FB9" w:rsidRPr="00637A11">
        <w:rPr>
          <w:i/>
          <w:color w:val="000000" w:themeColor="text1"/>
        </w:rPr>
        <w:t>labor-intensive</w:t>
      </w:r>
      <w:r w:rsidRPr="00637A11">
        <w:rPr>
          <w:i/>
          <w:color w:val="000000" w:themeColor="text1"/>
        </w:rPr>
        <w:t xml:space="preserve"> process to </w:t>
      </w:r>
      <w:r w:rsidR="00096FB9" w:rsidRPr="00637A11">
        <w:rPr>
          <w:i/>
          <w:color w:val="000000" w:themeColor="text1"/>
        </w:rPr>
        <w:t xml:space="preserve">ensure regulatory compliance </w:t>
      </w:r>
      <w:r w:rsidRPr="00637A11">
        <w:rPr>
          <w:i/>
          <w:color w:val="000000" w:themeColor="text1"/>
        </w:rPr>
        <w:t xml:space="preserve">adds </w:t>
      </w:r>
      <w:r w:rsidR="00096FB9" w:rsidRPr="00637A11">
        <w:rPr>
          <w:i/>
          <w:color w:val="000000" w:themeColor="text1"/>
        </w:rPr>
        <w:t xml:space="preserve">value </w:t>
      </w:r>
      <w:r w:rsidRPr="00637A11">
        <w:rPr>
          <w:i/>
          <w:color w:val="000000" w:themeColor="text1"/>
        </w:rPr>
        <w:t xml:space="preserve">to </w:t>
      </w:r>
      <w:r w:rsidR="00096FB9" w:rsidRPr="00637A11">
        <w:rPr>
          <w:i/>
          <w:color w:val="000000" w:themeColor="text1"/>
        </w:rPr>
        <w:t xml:space="preserve">multiple departments at </w:t>
      </w:r>
      <w:r w:rsidRPr="00637A11">
        <w:rPr>
          <w:i/>
          <w:color w:val="000000" w:themeColor="text1"/>
        </w:rPr>
        <w:t>the University</w:t>
      </w:r>
      <w:r w:rsidR="00096FB9" w:rsidRPr="00637A11">
        <w:rPr>
          <w:i/>
          <w:color w:val="000000" w:themeColor="text1"/>
        </w:rPr>
        <w:t xml:space="preserve">.  </w:t>
      </w:r>
    </w:p>
    <w:sectPr w:rsidR="00B219EA" w:rsidRPr="00637A11" w:rsidSect="00266082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BBEF0" w14:textId="77777777" w:rsidR="00D60CDA" w:rsidRDefault="00D60CDA">
      <w:pPr>
        <w:spacing w:after="0" w:line="240" w:lineRule="auto"/>
      </w:pPr>
      <w:r>
        <w:separator/>
      </w:r>
    </w:p>
  </w:endnote>
  <w:endnote w:type="continuationSeparator" w:id="0">
    <w:p w14:paraId="7203E477" w14:textId="77777777" w:rsidR="00D60CDA" w:rsidRDefault="00D6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7C54" w14:textId="60B884D7" w:rsidR="00442AAE" w:rsidRDefault="001350CA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44746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44746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CB48" w14:textId="6D4CECE0" w:rsidR="00442AAE" w:rsidRDefault="001350CA" w:rsidP="0019030F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4474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4474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6B37" w14:textId="77777777" w:rsidR="00D60CDA" w:rsidRDefault="00D60CDA">
      <w:pPr>
        <w:spacing w:after="0" w:line="240" w:lineRule="auto"/>
      </w:pPr>
      <w:r>
        <w:separator/>
      </w:r>
    </w:p>
  </w:footnote>
  <w:footnote w:type="continuationSeparator" w:id="0">
    <w:p w14:paraId="18FEFCF9" w14:textId="77777777" w:rsidR="00D60CDA" w:rsidRDefault="00D6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BDFB" w14:textId="77777777" w:rsidR="00442AAE" w:rsidRDefault="000B634F">
    <w:pPr>
      <w:tabs>
        <w:tab w:val="center" w:pos="4680"/>
        <w:tab w:val="right" w:pos="9360"/>
      </w:tabs>
      <w:spacing w:before="720" w:after="0" w:line="240" w:lineRule="auto"/>
    </w:pPr>
    <w:r>
      <w:t>IT</w:t>
    </w:r>
    <w:r w:rsidR="001350CA">
      <w:tab/>
    </w:r>
    <w:r w:rsidR="001350CA">
      <w:tab/>
      <w:t>Business Case</w:t>
    </w:r>
  </w:p>
  <w:p w14:paraId="63D2203F" w14:textId="254D6862" w:rsidR="00442AAE" w:rsidRDefault="000B634F">
    <w:pPr>
      <w:tabs>
        <w:tab w:val="center" w:pos="4680"/>
        <w:tab w:val="right" w:pos="9360"/>
      </w:tabs>
      <w:spacing w:after="0" w:line="240" w:lineRule="auto"/>
    </w:pPr>
    <w:r>
      <w:t>CampusClarity</w:t>
    </w:r>
    <w:r w:rsidR="001350CA">
      <w:tab/>
    </w:r>
    <w:r w:rsidR="001350CA">
      <w:tab/>
    </w:r>
    <w:r>
      <w:t xml:space="preserve">V </w:t>
    </w:r>
    <w:r w:rsidR="00DD15A8">
      <w:t>1.0</w:t>
    </w:r>
    <w:r w:rsidR="001350CA">
      <w:t xml:space="preserve"> | </w:t>
    </w:r>
    <w:r>
      <w:fldChar w:fldCharType="begin"/>
    </w:r>
    <w:r>
      <w:instrText xml:space="preserve"> DATE \@ "MMMM d, yyyy" </w:instrText>
    </w:r>
    <w:r>
      <w:fldChar w:fldCharType="separate"/>
    </w:r>
    <w:r w:rsidR="00844746">
      <w:rPr>
        <w:noProof/>
      </w:rPr>
      <w:t>September 3, 2021</w:t>
    </w:r>
    <w:r>
      <w:fldChar w:fldCharType="end"/>
    </w:r>
  </w:p>
  <w:p w14:paraId="0F2BF778" w14:textId="77777777" w:rsidR="00C13F2E" w:rsidRDefault="00C13F2E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A68"/>
    <w:multiLevelType w:val="hybridMultilevel"/>
    <w:tmpl w:val="9C783E48"/>
    <w:lvl w:ilvl="0" w:tplc="56CAF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2B21"/>
    <w:multiLevelType w:val="hybridMultilevel"/>
    <w:tmpl w:val="8AD0EF38"/>
    <w:lvl w:ilvl="0" w:tplc="56CAF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2DA5"/>
    <w:multiLevelType w:val="hybridMultilevel"/>
    <w:tmpl w:val="A230A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72386"/>
    <w:multiLevelType w:val="hybridMultilevel"/>
    <w:tmpl w:val="168C7AA0"/>
    <w:lvl w:ilvl="0" w:tplc="56CAF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2519"/>
    <w:multiLevelType w:val="hybridMultilevel"/>
    <w:tmpl w:val="D0886C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E"/>
    <w:rsid w:val="000072E6"/>
    <w:rsid w:val="00021FB2"/>
    <w:rsid w:val="00090AD5"/>
    <w:rsid w:val="00096FB9"/>
    <w:rsid w:val="000B634F"/>
    <w:rsid w:val="000D7E53"/>
    <w:rsid w:val="00120EF6"/>
    <w:rsid w:val="001350CA"/>
    <w:rsid w:val="0015259C"/>
    <w:rsid w:val="0015790D"/>
    <w:rsid w:val="0019030F"/>
    <w:rsid w:val="001A5CF7"/>
    <w:rsid w:val="001B517E"/>
    <w:rsid w:val="001C6E36"/>
    <w:rsid w:val="001D7AFF"/>
    <w:rsid w:val="001E03BC"/>
    <w:rsid w:val="00201E85"/>
    <w:rsid w:val="00223AA4"/>
    <w:rsid w:val="00224054"/>
    <w:rsid w:val="00266082"/>
    <w:rsid w:val="0027207F"/>
    <w:rsid w:val="00284719"/>
    <w:rsid w:val="00292CA8"/>
    <w:rsid w:val="002D7576"/>
    <w:rsid w:val="003B4EE4"/>
    <w:rsid w:val="003F73E1"/>
    <w:rsid w:val="004315FB"/>
    <w:rsid w:val="00442AAE"/>
    <w:rsid w:val="0046063B"/>
    <w:rsid w:val="005E2DCC"/>
    <w:rsid w:val="00637A11"/>
    <w:rsid w:val="006937C7"/>
    <w:rsid w:val="006D14FC"/>
    <w:rsid w:val="00727DBC"/>
    <w:rsid w:val="00785276"/>
    <w:rsid w:val="007B70BE"/>
    <w:rsid w:val="007C2B01"/>
    <w:rsid w:val="00801C88"/>
    <w:rsid w:val="00844746"/>
    <w:rsid w:val="008E17D9"/>
    <w:rsid w:val="009436DA"/>
    <w:rsid w:val="00993372"/>
    <w:rsid w:val="009C102F"/>
    <w:rsid w:val="009F0417"/>
    <w:rsid w:val="00A455D0"/>
    <w:rsid w:val="00A54FD1"/>
    <w:rsid w:val="00A667EC"/>
    <w:rsid w:val="00B219EA"/>
    <w:rsid w:val="00B50E4A"/>
    <w:rsid w:val="00BA00AD"/>
    <w:rsid w:val="00BC3B0F"/>
    <w:rsid w:val="00BC458F"/>
    <w:rsid w:val="00BD2094"/>
    <w:rsid w:val="00BF32AC"/>
    <w:rsid w:val="00C050F3"/>
    <w:rsid w:val="00C13F2E"/>
    <w:rsid w:val="00C47A25"/>
    <w:rsid w:val="00CB377C"/>
    <w:rsid w:val="00CC28EE"/>
    <w:rsid w:val="00CE0D74"/>
    <w:rsid w:val="00CF0F89"/>
    <w:rsid w:val="00D0713A"/>
    <w:rsid w:val="00D43F4C"/>
    <w:rsid w:val="00D548F0"/>
    <w:rsid w:val="00D60CDA"/>
    <w:rsid w:val="00D7545A"/>
    <w:rsid w:val="00D920FA"/>
    <w:rsid w:val="00D92772"/>
    <w:rsid w:val="00DB3B04"/>
    <w:rsid w:val="00DC4CAE"/>
    <w:rsid w:val="00DD082B"/>
    <w:rsid w:val="00DD15A8"/>
    <w:rsid w:val="00DD4524"/>
    <w:rsid w:val="00DF225E"/>
    <w:rsid w:val="00E16433"/>
    <w:rsid w:val="00E3230B"/>
    <w:rsid w:val="00E90660"/>
    <w:rsid w:val="00F47A95"/>
    <w:rsid w:val="00F5168A"/>
    <w:rsid w:val="00F61EBD"/>
    <w:rsid w:val="00FC33E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369A"/>
  <w15:docId w15:val="{A06E3934-F6BF-45BD-BFBE-7BBD2F22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Questrial" w:eastAsia="Questrial" w:hAnsi="Questrial" w:cs="Questrial"/>
      <w:color w:val="500000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Questrial" w:eastAsia="Questrial" w:hAnsi="Questrial" w:cs="Questrial"/>
      <w:color w:val="5F574F"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40"/>
      <w:outlineLvl w:val="2"/>
    </w:pPr>
    <w:rPr>
      <w:b/>
      <w:color w:val="500000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color w:val="5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500000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Instructions">
    <w:name w:val="Instructions"/>
    <w:basedOn w:val="Normal"/>
    <w:link w:val="InstructionsChar"/>
    <w:qFormat/>
    <w:rsid w:val="00090AD5"/>
    <w:pPr>
      <w:spacing w:after="200" w:line="240" w:lineRule="auto"/>
    </w:pPr>
    <w:rPr>
      <w:rFonts w:asciiTheme="minorHAnsi" w:eastAsia="Times New Roman" w:hAnsiTheme="minorHAnsi" w:cs="Times New Roman"/>
      <w:i/>
      <w:iCs/>
      <w:color w:val="8EAADB" w:themeColor="accent5" w:themeTint="99"/>
      <w:szCs w:val="18"/>
    </w:rPr>
  </w:style>
  <w:style w:type="character" w:customStyle="1" w:styleId="InstructionsChar">
    <w:name w:val="Instructions Char"/>
    <w:basedOn w:val="DefaultParagraphFont"/>
    <w:link w:val="Instructions"/>
    <w:rsid w:val="00090AD5"/>
    <w:rPr>
      <w:rFonts w:asciiTheme="minorHAnsi" w:eastAsia="Times New Roman" w:hAnsiTheme="minorHAnsi" w:cs="Times New Roman"/>
      <w:i/>
      <w:iCs/>
      <w:color w:val="8EAADB" w:themeColor="accent5" w:themeTint="99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A4"/>
  </w:style>
  <w:style w:type="paragraph" w:styleId="Footer">
    <w:name w:val="footer"/>
    <w:basedOn w:val="Normal"/>
    <w:link w:val="FooterChar"/>
    <w:uiPriority w:val="99"/>
    <w:unhideWhenUsed/>
    <w:rsid w:val="0022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A4"/>
  </w:style>
  <w:style w:type="character" w:styleId="Hyperlink">
    <w:name w:val="Hyperlink"/>
    <w:basedOn w:val="DefaultParagraphFont"/>
    <w:uiPriority w:val="99"/>
    <w:unhideWhenUsed/>
    <w:rsid w:val="000B63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2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Philipps, Patricia</dc:creator>
  <cp:lastModifiedBy>Lenser, Leslie</cp:lastModifiedBy>
  <cp:revision>10</cp:revision>
  <cp:lastPrinted>2016-02-10T00:06:00Z</cp:lastPrinted>
  <dcterms:created xsi:type="dcterms:W3CDTF">2017-03-22T14:45:00Z</dcterms:created>
  <dcterms:modified xsi:type="dcterms:W3CDTF">2021-09-03T18:02:00Z</dcterms:modified>
</cp:coreProperties>
</file>